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FA" w:rsidRPr="002156C5" w:rsidRDefault="00555DFA" w:rsidP="00555DFA">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555DFA" w:rsidRDefault="00555DFA" w:rsidP="00555DFA">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sidR="000030FA">
        <w:rPr>
          <w:rFonts w:ascii="黑体" w:eastAsia="黑体" w:hAnsi="宋体" w:hint="eastAsia"/>
          <w:b/>
          <w:sz w:val="32"/>
          <w:szCs w:val="32"/>
        </w:rPr>
        <w:t>11</w:t>
      </w:r>
    </w:p>
    <w:p w:rsidR="00555DFA" w:rsidRDefault="000030FA" w:rsidP="00555DFA">
      <w:pPr>
        <w:pStyle w:val="TOC"/>
        <w:spacing w:after="120"/>
        <w:jc w:val="center"/>
        <w:rPr>
          <w:rFonts w:ascii="黑体" w:eastAsia="黑体" w:hAnsi="宋体"/>
          <w:b w:val="0"/>
          <w:noProof/>
          <w:sz w:val="32"/>
          <w:szCs w:val="32"/>
        </w:rPr>
      </w:pPr>
      <w:r>
        <w:rPr>
          <w:rFonts w:ascii="黑体" w:eastAsia="黑体" w:hAnsi="宋体"/>
          <w:b w:val="0"/>
          <w:noProof/>
          <w:sz w:val="32"/>
          <w:szCs w:val="32"/>
        </w:rPr>
        <mc:AlternateContent>
          <mc:Choice Requires="wps">
            <w:drawing>
              <wp:anchor distT="0" distB="0" distL="114300" distR="114300" simplePos="0" relativeHeight="251662336" behindDoc="0" locked="0" layoutInCell="1" allowOverlap="1" wp14:anchorId="1EBCB802" wp14:editId="48EBEEE8">
                <wp:simplePos x="0" y="0"/>
                <wp:positionH relativeFrom="column">
                  <wp:posOffset>-38100</wp:posOffset>
                </wp:positionH>
                <wp:positionV relativeFrom="paragraph">
                  <wp:posOffset>17145</wp:posOffset>
                </wp:positionV>
                <wp:extent cx="5400675" cy="0"/>
                <wp:effectExtent l="19050" t="17145" r="1905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E5FD3C"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mc:Fallback>
        </mc:AlternateContent>
      </w:r>
      <w:r w:rsidR="00555DFA" w:rsidRPr="00D220AD">
        <w:rPr>
          <w:rFonts w:ascii="黑体" w:eastAsia="黑体" w:hAnsi="宋体"/>
          <w:b w:val="0"/>
          <w:noProof/>
          <w:sz w:val="32"/>
          <w:szCs w:val="32"/>
        </w:rPr>
        <w:t>目录</w:t>
      </w:r>
    </w:p>
    <w:p w:rsidR="00BC7C38" w:rsidRDefault="00BC7C38" w:rsidP="00BC7C38">
      <w:pPr>
        <w:spacing w:line="400" w:lineRule="exact"/>
        <w:rPr>
          <w:rFonts w:ascii="仿宋_GB2312" w:eastAsia="仿宋_GB2312"/>
          <w:b/>
          <w:sz w:val="28"/>
          <w:szCs w:val="28"/>
        </w:rPr>
      </w:pPr>
      <w:r w:rsidRPr="00C92A3F">
        <w:rPr>
          <w:rFonts w:ascii="仿宋_GB2312" w:eastAsia="仿宋_GB2312" w:hint="eastAsia"/>
          <w:b/>
          <w:sz w:val="28"/>
          <w:szCs w:val="28"/>
        </w:rPr>
        <w:t>专刊：</w:t>
      </w:r>
      <w:r w:rsidR="008D0C02" w:rsidRPr="008D0C02">
        <w:rPr>
          <w:rFonts w:ascii="仿宋_GB2312" w:eastAsia="仿宋_GB2312" w:hint="eastAsia"/>
          <w:b/>
          <w:sz w:val="28"/>
          <w:szCs w:val="28"/>
        </w:rPr>
        <w:t>国际科技合作新进展</w:t>
      </w:r>
    </w:p>
    <w:p w:rsidR="00AA782C" w:rsidRDefault="00AA782C" w:rsidP="00BC7C38">
      <w:pPr>
        <w:spacing w:line="400" w:lineRule="exact"/>
        <w:rPr>
          <w:rFonts w:ascii="仿宋_GB2312" w:eastAsia="仿宋_GB2312"/>
          <w:b/>
          <w:sz w:val="28"/>
          <w:szCs w:val="28"/>
        </w:rPr>
      </w:pPr>
    </w:p>
    <w:p w:rsidR="000030FA" w:rsidRPr="000030FA" w:rsidRDefault="0068470D">
      <w:pPr>
        <w:pStyle w:val="10"/>
        <w:tabs>
          <w:tab w:val="right" w:leader="dot" w:pos="8296"/>
        </w:tabs>
        <w:rPr>
          <w:rFonts w:ascii="仿宋_GB2312" w:eastAsia="仿宋_GB2312"/>
          <w:noProof/>
          <w:sz w:val="28"/>
          <w:szCs w:val="28"/>
        </w:rPr>
      </w:pPr>
      <w:r w:rsidRPr="000030FA">
        <w:rPr>
          <w:rFonts w:ascii="仿宋_GB2312" w:eastAsia="仿宋_GB2312" w:hint="eastAsia"/>
          <w:sz w:val="28"/>
          <w:szCs w:val="28"/>
        </w:rPr>
        <w:fldChar w:fldCharType="begin"/>
      </w:r>
      <w:r w:rsidRPr="000030FA">
        <w:rPr>
          <w:rFonts w:ascii="仿宋_GB2312" w:eastAsia="仿宋_GB2312" w:hint="eastAsia"/>
          <w:sz w:val="28"/>
          <w:szCs w:val="28"/>
        </w:rPr>
        <w:instrText xml:space="preserve"> TOC \o "1-3" \n \h \z \u </w:instrText>
      </w:r>
      <w:r w:rsidRPr="000030FA">
        <w:rPr>
          <w:rFonts w:ascii="仿宋_GB2312" w:eastAsia="仿宋_GB2312" w:hint="eastAsia"/>
          <w:sz w:val="28"/>
          <w:szCs w:val="28"/>
        </w:rPr>
        <w:fldChar w:fldCharType="separate"/>
      </w:r>
      <w:hyperlink w:anchor="_Toc430851927" w:history="1">
        <w:r w:rsidR="000030FA" w:rsidRPr="000030FA">
          <w:rPr>
            <w:rStyle w:val="a6"/>
            <w:rFonts w:ascii="仿宋_GB2312" w:eastAsia="仿宋_GB2312" w:hint="eastAsia"/>
            <w:noProof/>
            <w:sz w:val="28"/>
            <w:szCs w:val="28"/>
          </w:rPr>
          <w:t>刘延东主持中以创新合作联合委员会第一次会议</w:t>
        </w:r>
      </w:hyperlink>
    </w:p>
    <w:p w:rsidR="000030FA" w:rsidRPr="000030FA" w:rsidRDefault="002822A0">
      <w:pPr>
        <w:pStyle w:val="10"/>
        <w:tabs>
          <w:tab w:val="right" w:leader="dot" w:pos="8296"/>
        </w:tabs>
        <w:rPr>
          <w:rFonts w:ascii="仿宋_GB2312" w:eastAsia="仿宋_GB2312"/>
          <w:noProof/>
          <w:sz w:val="28"/>
          <w:szCs w:val="28"/>
        </w:rPr>
      </w:pPr>
      <w:hyperlink w:anchor="_Toc430851928" w:history="1">
        <w:r w:rsidR="000030FA" w:rsidRPr="000030FA">
          <w:rPr>
            <w:rStyle w:val="a6"/>
            <w:rFonts w:ascii="仿宋_GB2312" w:eastAsia="仿宋_GB2312" w:hint="eastAsia"/>
            <w:noProof/>
            <w:sz w:val="28"/>
            <w:szCs w:val="28"/>
          </w:rPr>
          <w:t>携手创新 合作共赢</w:t>
        </w:r>
      </w:hyperlink>
    </w:p>
    <w:p w:rsidR="000030FA" w:rsidRPr="000030FA" w:rsidRDefault="002822A0">
      <w:pPr>
        <w:pStyle w:val="10"/>
        <w:tabs>
          <w:tab w:val="right" w:leader="dot" w:pos="8296"/>
        </w:tabs>
        <w:rPr>
          <w:rFonts w:ascii="仿宋_GB2312" w:eastAsia="仿宋_GB2312"/>
          <w:noProof/>
          <w:sz w:val="28"/>
          <w:szCs w:val="28"/>
        </w:rPr>
      </w:pPr>
      <w:hyperlink w:anchor="_Toc430851929" w:history="1">
        <w:r w:rsidR="000030FA" w:rsidRPr="000030FA">
          <w:rPr>
            <w:rStyle w:val="a6"/>
            <w:rFonts w:ascii="仿宋_GB2312" w:eastAsia="仿宋_GB2312" w:hint="eastAsia"/>
            <w:noProof/>
            <w:sz w:val="28"/>
            <w:szCs w:val="28"/>
          </w:rPr>
          <w:t>中巴高级别科技创新对话举行</w:t>
        </w:r>
      </w:hyperlink>
    </w:p>
    <w:p w:rsidR="000030FA" w:rsidRPr="000030FA" w:rsidRDefault="002822A0">
      <w:pPr>
        <w:pStyle w:val="10"/>
        <w:tabs>
          <w:tab w:val="right" w:leader="dot" w:pos="8296"/>
        </w:tabs>
        <w:rPr>
          <w:rFonts w:ascii="仿宋_GB2312" w:eastAsia="仿宋_GB2312"/>
          <w:noProof/>
          <w:sz w:val="28"/>
          <w:szCs w:val="28"/>
        </w:rPr>
      </w:pPr>
      <w:hyperlink w:anchor="_Toc430851930" w:history="1">
        <w:r w:rsidR="000030FA" w:rsidRPr="000030FA">
          <w:rPr>
            <w:rStyle w:val="a6"/>
            <w:rFonts w:ascii="仿宋_GB2312" w:eastAsia="仿宋_GB2312" w:hint="eastAsia"/>
            <w:noProof/>
            <w:sz w:val="28"/>
            <w:szCs w:val="28"/>
          </w:rPr>
          <w:t>中巴科技合作品质提升</w:t>
        </w:r>
      </w:hyperlink>
    </w:p>
    <w:p w:rsidR="000030FA" w:rsidRPr="000030FA" w:rsidRDefault="002822A0">
      <w:pPr>
        <w:pStyle w:val="10"/>
        <w:tabs>
          <w:tab w:val="right" w:leader="dot" w:pos="8296"/>
        </w:tabs>
        <w:rPr>
          <w:rFonts w:ascii="仿宋_GB2312" w:eastAsia="仿宋_GB2312"/>
          <w:noProof/>
          <w:sz w:val="28"/>
          <w:szCs w:val="28"/>
        </w:rPr>
      </w:pPr>
      <w:hyperlink w:anchor="_Toc430851931" w:history="1">
        <w:r w:rsidR="000030FA" w:rsidRPr="000030FA">
          <w:rPr>
            <w:rStyle w:val="a6"/>
            <w:rFonts w:ascii="仿宋_GB2312" w:eastAsia="仿宋_GB2312" w:hint="eastAsia"/>
            <w:noProof/>
            <w:sz w:val="28"/>
            <w:szCs w:val="28"/>
          </w:rPr>
          <w:t>SMILE计划入选中欧科学卫星任务</w:t>
        </w:r>
      </w:hyperlink>
    </w:p>
    <w:p w:rsidR="000030FA" w:rsidRPr="000030FA" w:rsidRDefault="002822A0">
      <w:pPr>
        <w:pStyle w:val="10"/>
        <w:tabs>
          <w:tab w:val="right" w:leader="dot" w:pos="8296"/>
        </w:tabs>
        <w:rPr>
          <w:rFonts w:ascii="仿宋_GB2312" w:eastAsia="仿宋_GB2312"/>
          <w:noProof/>
          <w:sz w:val="28"/>
          <w:szCs w:val="28"/>
        </w:rPr>
      </w:pPr>
      <w:hyperlink w:anchor="_Toc430851932" w:history="1">
        <w:r w:rsidR="000030FA" w:rsidRPr="000030FA">
          <w:rPr>
            <w:rStyle w:val="a6"/>
            <w:rFonts w:ascii="仿宋_GB2312" w:eastAsia="仿宋_GB2312" w:hint="eastAsia"/>
            <w:noProof/>
            <w:sz w:val="28"/>
            <w:szCs w:val="28"/>
          </w:rPr>
          <w:t>中美决定促进清洁能源科技合作</w:t>
        </w:r>
      </w:hyperlink>
    </w:p>
    <w:p w:rsidR="000030FA" w:rsidRPr="000030FA" w:rsidRDefault="002822A0">
      <w:pPr>
        <w:pStyle w:val="10"/>
        <w:tabs>
          <w:tab w:val="right" w:leader="dot" w:pos="8296"/>
        </w:tabs>
        <w:rPr>
          <w:rFonts w:ascii="仿宋_GB2312" w:eastAsia="仿宋_GB2312"/>
          <w:noProof/>
          <w:sz w:val="28"/>
          <w:szCs w:val="28"/>
        </w:rPr>
      </w:pPr>
      <w:hyperlink w:anchor="_Toc430851933" w:history="1">
        <w:r w:rsidR="000030FA" w:rsidRPr="000030FA">
          <w:rPr>
            <w:rStyle w:val="a6"/>
            <w:rFonts w:ascii="仿宋_GB2312" w:eastAsia="仿宋_GB2312" w:hint="eastAsia"/>
            <w:noProof/>
            <w:sz w:val="28"/>
            <w:szCs w:val="28"/>
          </w:rPr>
          <w:t>中国斯里兰卡科技合作一拍即合</w:t>
        </w:r>
      </w:hyperlink>
    </w:p>
    <w:p w:rsidR="008037A2" w:rsidRDefault="00DB6C6F" w:rsidP="00BC7C38">
      <w:pPr>
        <w:spacing w:line="400" w:lineRule="exact"/>
        <w:rPr>
          <w:rFonts w:ascii="仿宋_GB2312" w:eastAsia="仿宋_GB2312"/>
          <w:sz w:val="28"/>
          <w:szCs w:val="28"/>
        </w:rPr>
      </w:pPr>
      <w:r>
        <w:rPr>
          <w:rFonts w:ascii="黑体" w:eastAsia="黑体" w:hAnsi="宋体"/>
          <w:b/>
          <w:noProof/>
          <w:sz w:val="32"/>
          <w:szCs w:val="32"/>
        </w:rPr>
        <mc:AlternateContent>
          <mc:Choice Requires="wps">
            <w:drawing>
              <wp:anchor distT="0" distB="0" distL="114300" distR="114300" simplePos="0" relativeHeight="251664384" behindDoc="0" locked="0" layoutInCell="1" allowOverlap="1" wp14:anchorId="1E390D61" wp14:editId="0DC30694">
                <wp:simplePos x="0" y="0"/>
                <wp:positionH relativeFrom="column">
                  <wp:posOffset>28575</wp:posOffset>
                </wp:positionH>
                <wp:positionV relativeFrom="paragraph">
                  <wp:posOffset>167005</wp:posOffset>
                </wp:positionV>
                <wp:extent cx="5400675" cy="0"/>
                <wp:effectExtent l="19050" t="1905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F8210" id="AutoShape 4" o:spid="_x0000_s1026" type="#_x0000_t32" style="position:absolute;left:0;text-align:left;margin-left:2.25pt;margin-top:13.15pt;width:4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" strokeweight="2.25pt">
                <v:stroke dashstyle="1 1" endcap="round"/>
              </v:shape>
            </w:pict>
          </mc:Fallback>
        </mc:AlternateContent>
      </w:r>
      <w:r w:rsidR="0068470D" w:rsidRPr="000030FA">
        <w:rPr>
          <w:rFonts w:ascii="仿宋_GB2312" w:eastAsia="仿宋_GB2312" w:hint="eastAsia"/>
          <w:sz w:val="28"/>
          <w:szCs w:val="28"/>
        </w:rPr>
        <w:fldChar w:fldCharType="end"/>
      </w:r>
    </w:p>
    <w:p w:rsidR="00DB6C6F" w:rsidRDefault="00DB6C6F" w:rsidP="00154CBF">
      <w:pPr>
        <w:spacing w:line="400" w:lineRule="exact"/>
        <w:rPr>
          <w:rFonts w:ascii="仿宋_GB2312" w:eastAsia="仿宋_GB2312"/>
          <w:b/>
          <w:sz w:val="28"/>
          <w:szCs w:val="28"/>
        </w:rPr>
      </w:pPr>
    </w:p>
    <w:p w:rsidR="004E6F19" w:rsidRPr="004E6F19" w:rsidRDefault="004E6F19" w:rsidP="00154CBF">
      <w:pPr>
        <w:spacing w:line="400" w:lineRule="exact"/>
        <w:rPr>
          <w:rFonts w:ascii="仿宋_GB2312" w:eastAsia="仿宋_GB2312"/>
          <w:b/>
          <w:sz w:val="28"/>
          <w:szCs w:val="28"/>
        </w:rPr>
      </w:pPr>
      <w:r w:rsidRPr="004E6F19">
        <w:rPr>
          <w:rFonts w:ascii="仿宋_GB2312" w:eastAsia="仿宋_GB2312" w:hint="eastAsia"/>
          <w:b/>
          <w:sz w:val="28"/>
          <w:szCs w:val="28"/>
        </w:rPr>
        <w:t>中国与以色列的创新合作</w:t>
      </w:r>
    </w:p>
    <w:p w:rsidR="007574F7" w:rsidRDefault="007574F7" w:rsidP="007574F7">
      <w:pPr>
        <w:pStyle w:val="a5"/>
      </w:pPr>
      <w:bookmarkStart w:id="0" w:name="_Toc430851927"/>
      <w:r>
        <w:rPr>
          <w:rFonts w:hint="eastAsia"/>
        </w:rPr>
        <w:t>刘延东主持中以创新合作联合委员会第一次会议</w:t>
      </w:r>
      <w:bookmarkEnd w:id="0"/>
    </w:p>
    <w:p w:rsidR="007574F7" w:rsidRDefault="007574F7" w:rsidP="00154CBF">
      <w:pPr>
        <w:ind w:firstLineChars="200" w:firstLine="420"/>
      </w:pPr>
      <w:r>
        <w:rPr>
          <w:rFonts w:hint="eastAsia"/>
        </w:rPr>
        <w:t>国务院副总理刘延东</w:t>
      </w:r>
      <w:r w:rsidR="001D41B6">
        <w:rPr>
          <w:rFonts w:hint="eastAsia"/>
        </w:rPr>
        <w:t>1</w:t>
      </w:r>
      <w:r w:rsidR="001D41B6">
        <w:rPr>
          <w:rFonts w:hint="eastAsia"/>
        </w:rPr>
        <w:t>月</w:t>
      </w:r>
      <w:r>
        <w:rPr>
          <w:rFonts w:hint="eastAsia"/>
        </w:rPr>
        <w:t>29</w:t>
      </w:r>
      <w:r>
        <w:rPr>
          <w:rFonts w:hint="eastAsia"/>
        </w:rPr>
        <w:t>日在北京与以色列外交部长利伯曼共同主持中以创新合作联合委员会第一次会议。国务院总理李克强、以色列总理内塔尼亚胡分别来信表示祝贺。</w:t>
      </w:r>
      <w:r w:rsidR="00154CBF">
        <w:rPr>
          <w:rFonts w:hint="eastAsia"/>
        </w:rPr>
        <w:t>会议上</w:t>
      </w:r>
      <w:r>
        <w:rPr>
          <w:rFonts w:hint="eastAsia"/>
        </w:rPr>
        <w:t>刘延东指出，深化创新合作是两国领导人的重要共识。中以创新合作基础深厚、互补性强，潜力巨大。全球新科技革命和产业变革以及两国发展的阶段特征，为中以创新合作带来了重大机遇。两国政府决定成立创新合作联合委员会，推动在科技、教育、文化、卫生和地方等领域的创新合作，将为两国关系注入新的活力。希望双方以长远眼光、务实精神谋划创新合作，不断丰富形式，拓展领域，集聚资源，建立长效机制，落实好中以创新合作三年行动计划，推动双方平等互利共赢的务实合作。要继续密切人文交流，加深两国人民友谊，厚</w:t>
      </w:r>
      <w:proofErr w:type="gramStart"/>
      <w:r>
        <w:rPr>
          <w:rFonts w:hint="eastAsia"/>
        </w:rPr>
        <w:t>植创新</w:t>
      </w:r>
      <w:proofErr w:type="gramEnd"/>
      <w:r>
        <w:rPr>
          <w:rFonts w:hint="eastAsia"/>
        </w:rPr>
        <w:t>合作的土壤，为两国关系持续健康发展</w:t>
      </w:r>
      <w:proofErr w:type="gramStart"/>
      <w:r>
        <w:rPr>
          <w:rFonts w:hint="eastAsia"/>
        </w:rPr>
        <w:t>作出</w:t>
      </w:r>
      <w:proofErr w:type="gramEnd"/>
      <w:r>
        <w:rPr>
          <w:rFonts w:hint="eastAsia"/>
        </w:rPr>
        <w:t>新贡献。利伯曼表示，创新合作是两国关系的重要组织部分，以方将与中方共同努力，充分发挥联合委员会作用，推动以中创新不断取得新进展。会后，刘延东和利伯曼共同签署了《中以创新合作三年行动计划》，为“中以常州创新园”揭牌，并见证了相关合作协议的签署。</w:t>
      </w:r>
    </w:p>
    <w:p w:rsidR="007574F7" w:rsidRDefault="007574F7" w:rsidP="007574F7">
      <w:pPr>
        <w:jc w:val="right"/>
      </w:pPr>
      <w:r>
        <w:rPr>
          <w:rFonts w:hint="eastAsia"/>
        </w:rPr>
        <w:t>（</w:t>
      </w:r>
      <w:r w:rsidRPr="007574F7">
        <w:rPr>
          <w:rFonts w:hint="eastAsia"/>
        </w:rPr>
        <w:t>来源：科技日报</w:t>
      </w:r>
      <w:r>
        <w:rPr>
          <w:rFonts w:hint="eastAsia"/>
        </w:rPr>
        <w:t>，</w:t>
      </w:r>
      <w:r w:rsidRPr="007574F7">
        <w:rPr>
          <w:rFonts w:hint="eastAsia"/>
        </w:rPr>
        <w:t>2015</w:t>
      </w:r>
      <w:r w:rsidRPr="007574F7">
        <w:rPr>
          <w:rFonts w:hint="eastAsia"/>
        </w:rPr>
        <w:t>年</w:t>
      </w:r>
      <w:r w:rsidRPr="007574F7">
        <w:rPr>
          <w:rFonts w:hint="eastAsia"/>
        </w:rPr>
        <w:t>01</w:t>
      </w:r>
      <w:r w:rsidRPr="007574F7">
        <w:rPr>
          <w:rFonts w:hint="eastAsia"/>
        </w:rPr>
        <w:t>月</w:t>
      </w:r>
      <w:r w:rsidRPr="007574F7">
        <w:rPr>
          <w:rFonts w:hint="eastAsia"/>
        </w:rPr>
        <w:t>30</w:t>
      </w:r>
      <w:r w:rsidRPr="007574F7">
        <w:rPr>
          <w:rFonts w:hint="eastAsia"/>
        </w:rPr>
        <w:t>日</w:t>
      </w:r>
      <w:r>
        <w:rPr>
          <w:rFonts w:hint="eastAsia"/>
        </w:rPr>
        <w:t>）</w:t>
      </w:r>
    </w:p>
    <w:p w:rsidR="007574F7" w:rsidRDefault="007574F7" w:rsidP="007574F7">
      <w:pPr>
        <w:jc w:val="left"/>
      </w:pPr>
    </w:p>
    <w:p w:rsidR="007574F7" w:rsidRPr="007574F7" w:rsidRDefault="007574F7" w:rsidP="007574F7">
      <w:pPr>
        <w:pStyle w:val="a5"/>
      </w:pPr>
      <w:bookmarkStart w:id="1" w:name="_Toc430851928"/>
      <w:r w:rsidRPr="007574F7">
        <w:rPr>
          <w:rFonts w:hint="eastAsia"/>
        </w:rPr>
        <w:t>携手创新</w:t>
      </w:r>
      <w:r w:rsidRPr="007574F7">
        <w:rPr>
          <w:rFonts w:hint="eastAsia"/>
        </w:rPr>
        <w:t xml:space="preserve"> </w:t>
      </w:r>
      <w:r w:rsidRPr="007574F7">
        <w:rPr>
          <w:rFonts w:hint="eastAsia"/>
        </w:rPr>
        <w:t>合作共赢</w:t>
      </w:r>
      <w:bookmarkEnd w:id="1"/>
    </w:p>
    <w:p w:rsidR="007574F7" w:rsidRDefault="007574F7" w:rsidP="00C90D2B">
      <w:pPr>
        <w:ind w:right="108" w:firstLineChars="200" w:firstLine="420"/>
        <w:jc w:val="left"/>
      </w:pPr>
      <w:r>
        <w:rPr>
          <w:rFonts w:hint="eastAsia"/>
        </w:rPr>
        <w:t>2015</w:t>
      </w:r>
      <w:r>
        <w:rPr>
          <w:rFonts w:hint="eastAsia"/>
        </w:rPr>
        <w:t>年</w:t>
      </w:r>
      <w:r>
        <w:rPr>
          <w:rFonts w:hint="eastAsia"/>
        </w:rPr>
        <w:t>1</w:t>
      </w:r>
      <w:r>
        <w:rPr>
          <w:rFonts w:hint="eastAsia"/>
        </w:rPr>
        <w:t>月</w:t>
      </w:r>
      <w:r>
        <w:rPr>
          <w:rFonts w:hint="eastAsia"/>
        </w:rPr>
        <w:t>29</w:t>
      </w:r>
      <w:r>
        <w:rPr>
          <w:rFonts w:hint="eastAsia"/>
        </w:rPr>
        <w:t>日，中国钓鱼台国宾馆，中国以色列创新合作联合委员会第一次会议在这里召开。会后，国务院副总理刘延东与以色列外交部长利伯曼共同签署了《中以创新合作三年行动计划》（简称《行动计划》）。</w:t>
      </w:r>
    </w:p>
    <w:p w:rsidR="007574F7" w:rsidRDefault="007574F7" w:rsidP="007574F7">
      <w:pPr>
        <w:ind w:right="105"/>
        <w:jc w:val="left"/>
      </w:pPr>
      <w:r>
        <w:rPr>
          <w:rFonts w:hint="eastAsia"/>
        </w:rPr>
        <w:t xml:space="preserve">    </w:t>
      </w:r>
      <w:r>
        <w:rPr>
          <w:rFonts w:hint="eastAsia"/>
        </w:rPr>
        <w:t>此次会议上，中国科技部与以国经济部签署了《中以创新合作中心的联合声明》，双方决定共建中以创新合作中心。旨在构建更加完善的企业创新合作信息共享网络，建立中以企业创新供需对接平台，帮助企业更好地了解双方知识产权保护法律体系和行政管理体系，为企业创新合作中遇到的知识产权保护问题提供有效帮助。</w:t>
      </w:r>
    </w:p>
    <w:p w:rsidR="007574F7" w:rsidRDefault="007574F7" w:rsidP="007574F7">
      <w:pPr>
        <w:ind w:right="105"/>
        <w:jc w:val="left"/>
      </w:pPr>
      <w:r>
        <w:rPr>
          <w:rFonts w:hint="eastAsia"/>
        </w:rPr>
        <w:t xml:space="preserve">    </w:t>
      </w:r>
      <w:r>
        <w:rPr>
          <w:rFonts w:hint="eastAsia"/>
        </w:rPr>
        <w:t>双方还表示，将充分利用好北京技术转移大会、江苏技术转移大会、中国国际医疗器械博览会、亚洲移动通信博览会和以色列水科技博览会、生物医药大会等平台，组织中以企业创新合作对接与交流。双方同意，进一步加大产业技术联合研发资助力度，每年联合资助研发项目扩大到</w:t>
      </w:r>
      <w:r>
        <w:rPr>
          <w:rFonts w:hint="eastAsia"/>
        </w:rPr>
        <w:t>50</w:t>
      </w:r>
      <w:r>
        <w:rPr>
          <w:rFonts w:hint="eastAsia"/>
        </w:rPr>
        <w:t>个。未来还将采取必要措施，促进双方在医疗器械、通讯、水科技、清洁能源、</w:t>
      </w:r>
      <w:r>
        <w:rPr>
          <w:rFonts w:hint="eastAsia"/>
        </w:rPr>
        <w:t>3D</w:t>
      </w:r>
      <w:r>
        <w:rPr>
          <w:rFonts w:hint="eastAsia"/>
        </w:rPr>
        <w:t>打印等领域的高技术贸易，鼓励企业设立联合研发中心。</w:t>
      </w:r>
    </w:p>
    <w:p w:rsidR="007574F7" w:rsidRDefault="007574F7" w:rsidP="007574F7">
      <w:pPr>
        <w:ind w:right="105"/>
        <w:jc w:val="left"/>
      </w:pPr>
      <w:r>
        <w:rPr>
          <w:rFonts w:hint="eastAsia"/>
        </w:rPr>
        <w:t xml:space="preserve">    </w:t>
      </w:r>
      <w:r>
        <w:rPr>
          <w:rFonts w:hint="eastAsia"/>
        </w:rPr>
        <w:t>此次会议</w:t>
      </w:r>
      <w:r w:rsidR="00C90D2B">
        <w:rPr>
          <w:rFonts w:hint="eastAsia"/>
        </w:rPr>
        <w:t>的另</w:t>
      </w:r>
      <w:r>
        <w:rPr>
          <w:rFonts w:hint="eastAsia"/>
        </w:rPr>
        <w:t>一个重要环节就是刘延东副总理和利伯曼部长共同为“中以常州创新园</w:t>
      </w:r>
      <w:r w:rsidR="00C90D2B">
        <w:rPr>
          <w:rFonts w:hint="eastAsia"/>
        </w:rPr>
        <w:t>”揭牌。</w:t>
      </w:r>
      <w:r>
        <w:rPr>
          <w:rFonts w:hint="eastAsia"/>
        </w:rPr>
        <w:t xml:space="preserve"> </w:t>
      </w:r>
      <w:r>
        <w:rPr>
          <w:rFonts w:hint="eastAsia"/>
        </w:rPr>
        <w:t>将“中以常州创新园”作为两国的试点，条件成熟时启动其他专业特色明确的中以创新园的建设。依托中国的高新区建设若干中以创新园，创建有利于以色列创新成果落地产业化和规模化、以色列企业来华创新发展的环境和条件。</w:t>
      </w:r>
    </w:p>
    <w:p w:rsidR="007574F7" w:rsidRDefault="007574F7" w:rsidP="007574F7">
      <w:pPr>
        <w:ind w:right="105"/>
        <w:jc w:val="left"/>
      </w:pPr>
      <w:r>
        <w:rPr>
          <w:rFonts w:hint="eastAsia"/>
        </w:rPr>
        <w:t xml:space="preserve">    </w:t>
      </w:r>
      <w:r>
        <w:rPr>
          <w:rFonts w:hint="eastAsia"/>
        </w:rPr>
        <w:t>另外，为推动两国科技创新合作与交流，双方同意搭建相关平台。以色列接受中方的邀请，将作为“</w:t>
      </w:r>
      <w:r>
        <w:rPr>
          <w:rFonts w:hint="eastAsia"/>
        </w:rPr>
        <w:t>2015</w:t>
      </w:r>
      <w:r>
        <w:rPr>
          <w:rFonts w:hint="eastAsia"/>
        </w:rPr>
        <w:t>浦江创新论坛”的主宾国。未来</w:t>
      </w:r>
      <w:r>
        <w:rPr>
          <w:rFonts w:hint="eastAsia"/>
        </w:rPr>
        <w:t>3</w:t>
      </w:r>
      <w:r>
        <w:rPr>
          <w:rFonts w:hint="eastAsia"/>
        </w:rPr>
        <w:t>年，将联合组织召开生命科学大会、脑科学研讨会以及其他重点优先领域研讨活动，邀请以色列和全球犹太</w:t>
      </w:r>
      <w:proofErr w:type="gramStart"/>
      <w:r>
        <w:rPr>
          <w:rFonts w:hint="eastAsia"/>
        </w:rPr>
        <w:t>裔诺奖</w:t>
      </w:r>
      <w:proofErr w:type="gramEnd"/>
      <w:r>
        <w:rPr>
          <w:rFonts w:hint="eastAsia"/>
        </w:rPr>
        <w:t>获得者参加。双方确定，支持两国科技人员通过互访、举办专题研讨会、青年科学家夏令营等加强交流。以色列国际合作中心将为中方提供农业科技、教育创新、创新创业、公共健康等方面的培训。</w:t>
      </w:r>
    </w:p>
    <w:p w:rsidR="007574F7" w:rsidRDefault="007574F7" w:rsidP="00906198">
      <w:pPr>
        <w:ind w:right="105"/>
        <w:jc w:val="right"/>
      </w:pPr>
      <w:r>
        <w:rPr>
          <w:rFonts w:hint="eastAsia"/>
        </w:rPr>
        <w:t xml:space="preserve">    </w:t>
      </w:r>
      <w:r>
        <w:rPr>
          <w:rFonts w:hint="eastAsia"/>
        </w:rPr>
        <w:t>（来源：科技日报，</w:t>
      </w:r>
      <w:r>
        <w:rPr>
          <w:rFonts w:hint="eastAsia"/>
        </w:rPr>
        <w:t>2015</w:t>
      </w:r>
      <w:r>
        <w:rPr>
          <w:rFonts w:hint="eastAsia"/>
        </w:rPr>
        <w:t>年</w:t>
      </w:r>
      <w:r>
        <w:rPr>
          <w:rFonts w:hint="eastAsia"/>
        </w:rPr>
        <w:t>02</w:t>
      </w:r>
      <w:r>
        <w:rPr>
          <w:rFonts w:hint="eastAsia"/>
        </w:rPr>
        <w:t>月</w:t>
      </w:r>
      <w:r>
        <w:rPr>
          <w:rFonts w:hint="eastAsia"/>
        </w:rPr>
        <w:t>02</w:t>
      </w:r>
      <w:r>
        <w:rPr>
          <w:rFonts w:hint="eastAsia"/>
        </w:rPr>
        <w:t>日）</w:t>
      </w:r>
    </w:p>
    <w:p w:rsidR="004E6F19" w:rsidRPr="00401127" w:rsidRDefault="004E6F19" w:rsidP="00401127"/>
    <w:p w:rsidR="004E6F19" w:rsidRPr="00401127" w:rsidRDefault="00401127" w:rsidP="00401127">
      <w:pPr>
        <w:pStyle w:val="a8"/>
        <w:numPr>
          <w:ilvl w:val="0"/>
          <w:numId w:val="1"/>
        </w:numPr>
        <w:spacing w:line="400" w:lineRule="exact"/>
        <w:ind w:firstLineChars="0"/>
        <w:rPr>
          <w:rFonts w:ascii="仿宋_GB2312" w:eastAsia="仿宋_GB2312"/>
          <w:b/>
          <w:sz w:val="28"/>
          <w:szCs w:val="28"/>
        </w:rPr>
      </w:pPr>
      <w:r w:rsidRPr="00401127">
        <w:rPr>
          <w:rFonts w:ascii="仿宋_GB2312" w:eastAsia="仿宋_GB2312" w:hint="eastAsia"/>
          <w:b/>
          <w:sz w:val="28"/>
          <w:szCs w:val="28"/>
        </w:rPr>
        <w:t>中国与巴西的</w:t>
      </w:r>
      <w:r w:rsidR="00FA3B43">
        <w:rPr>
          <w:rFonts w:ascii="仿宋_GB2312" w:eastAsia="仿宋_GB2312" w:hint="eastAsia"/>
          <w:b/>
          <w:sz w:val="28"/>
          <w:szCs w:val="28"/>
        </w:rPr>
        <w:t>合作</w:t>
      </w:r>
    </w:p>
    <w:p w:rsidR="004E6F19" w:rsidRDefault="004E6F19" w:rsidP="00401127"/>
    <w:p w:rsidR="002478D9" w:rsidRDefault="002478D9" w:rsidP="002478D9">
      <w:pPr>
        <w:pStyle w:val="a5"/>
      </w:pPr>
      <w:bookmarkStart w:id="2" w:name="_Toc430851929"/>
      <w:r>
        <w:rPr>
          <w:rFonts w:hint="eastAsia"/>
        </w:rPr>
        <w:t>中巴高级别科技创新对话举行</w:t>
      </w:r>
      <w:bookmarkEnd w:id="2"/>
    </w:p>
    <w:p w:rsidR="002478D9" w:rsidRDefault="002478D9" w:rsidP="002478D9">
      <w:pPr>
        <w:ind w:firstLineChars="200" w:firstLine="420"/>
      </w:pPr>
      <w:r>
        <w:rPr>
          <w:rFonts w:hint="eastAsia"/>
        </w:rPr>
        <w:t>中国和巴西第二届高级别科技创新对话</w:t>
      </w:r>
      <w:r w:rsidR="001D41B6">
        <w:rPr>
          <w:rFonts w:hint="eastAsia"/>
        </w:rPr>
        <w:t>6</w:t>
      </w:r>
      <w:r w:rsidR="001D41B6">
        <w:rPr>
          <w:rFonts w:hint="eastAsia"/>
        </w:rPr>
        <w:t>月</w:t>
      </w:r>
      <w:r>
        <w:rPr>
          <w:rFonts w:hint="eastAsia"/>
        </w:rPr>
        <w:t>19</w:t>
      </w:r>
      <w:r>
        <w:rPr>
          <w:rFonts w:hint="eastAsia"/>
        </w:rPr>
        <w:t>日在巴西首都巴西利亚举行，中国科技部部长万钢、巴西科技和</w:t>
      </w:r>
      <w:proofErr w:type="gramStart"/>
      <w:r>
        <w:rPr>
          <w:rFonts w:hint="eastAsia"/>
        </w:rPr>
        <w:t>创新部</w:t>
      </w:r>
      <w:proofErr w:type="gramEnd"/>
      <w:r>
        <w:rPr>
          <w:rFonts w:hint="eastAsia"/>
        </w:rPr>
        <w:t>部长阿尔多·雷贝洛等出席对话并致辞。双方还签署了两国科技部在科技园区领域合作的谅解备忘录。</w:t>
      </w:r>
    </w:p>
    <w:p w:rsidR="002478D9" w:rsidRDefault="002478D9" w:rsidP="002478D9">
      <w:r>
        <w:rPr>
          <w:rFonts w:hint="eastAsia"/>
        </w:rPr>
        <w:t xml:space="preserve">    </w:t>
      </w:r>
      <w:r>
        <w:rPr>
          <w:rFonts w:hint="eastAsia"/>
        </w:rPr>
        <w:t>万钢在致辞中对中巴科技创新合作取得的成果给予高度评价，认为双方应积极落实两国领导人关于“中巴合作应逐步提高科技含量，利用好高级别科技与创新对话机制”的共识，让科技合作成为助推中巴经济转型升级和社会民生改善的新引擎。万钢还表示，中国正在实施创新驱动发展战略，这与巴西提升工业化水平的发展思路高度契合。两国要优化配置科技合作资源，依托国际科技合作平台，分享经验，共享机遇，协同创新，共促发展。</w:t>
      </w:r>
    </w:p>
    <w:p w:rsidR="002478D9" w:rsidRDefault="002478D9" w:rsidP="002478D9">
      <w:r>
        <w:rPr>
          <w:rFonts w:hint="eastAsia"/>
        </w:rPr>
        <w:t xml:space="preserve">    </w:t>
      </w:r>
      <w:r>
        <w:rPr>
          <w:rFonts w:hint="eastAsia"/>
        </w:rPr>
        <w:t>雷贝洛指出，此次对话的举行正值新一轮科技革命加速发展并带动产业变革的时期。巴西把发展对华科技关系列为优先战略，愿进一步加强同中方在共同感兴趣领域的科技合作</w:t>
      </w:r>
      <w:r w:rsidR="00C90D2B">
        <w:rPr>
          <w:rFonts w:hint="eastAsia"/>
        </w:rPr>
        <w:t>。</w:t>
      </w:r>
      <w:r>
        <w:rPr>
          <w:rFonts w:hint="eastAsia"/>
        </w:rPr>
        <w:t>对话中，来自两国政府部门、科研机构、大学和企业的近百名代表围绕新能源与新材料、农</w:t>
      </w:r>
      <w:r>
        <w:rPr>
          <w:rFonts w:hint="eastAsia"/>
        </w:rPr>
        <w:lastRenderedPageBreak/>
        <w:t>业科技与食品安全、创新平台与创新环境等议题展开了深入交流。代表们一致认为，中巴互补性较强，科技合作潜力较大。</w:t>
      </w:r>
    </w:p>
    <w:p w:rsidR="002478D9" w:rsidRDefault="002478D9" w:rsidP="002478D9">
      <w:r>
        <w:rPr>
          <w:rFonts w:hint="eastAsia"/>
        </w:rPr>
        <w:t xml:space="preserve">    </w:t>
      </w:r>
      <w:r>
        <w:rPr>
          <w:rFonts w:hint="eastAsia"/>
        </w:rPr>
        <w:t>对话结束后，万钢与雷贝洛共同签署了《中巴科技园区领域双边合作谅解备忘录》。该文件旨在鼓励和促进两国科技与创新的参与者在科技园区、企业孵化器以及其他相似领域的合作，以加强建设由市场驱动的技术创新生态系统。</w:t>
      </w:r>
    </w:p>
    <w:p w:rsidR="002478D9" w:rsidRDefault="002478D9" w:rsidP="002478D9">
      <w:pPr>
        <w:jc w:val="right"/>
      </w:pPr>
      <w:r>
        <w:rPr>
          <w:rFonts w:hint="eastAsia"/>
        </w:rPr>
        <w:t>（来源：科技日报，</w:t>
      </w:r>
      <w:r>
        <w:rPr>
          <w:rFonts w:hint="eastAsia"/>
        </w:rPr>
        <w:t>2015</w:t>
      </w:r>
      <w:r>
        <w:rPr>
          <w:rFonts w:hint="eastAsia"/>
        </w:rPr>
        <w:t>年</w:t>
      </w:r>
      <w:r>
        <w:rPr>
          <w:rFonts w:hint="eastAsia"/>
        </w:rPr>
        <w:t>06</w:t>
      </w:r>
      <w:r>
        <w:rPr>
          <w:rFonts w:hint="eastAsia"/>
        </w:rPr>
        <w:t>月</w:t>
      </w:r>
      <w:r>
        <w:rPr>
          <w:rFonts w:hint="eastAsia"/>
        </w:rPr>
        <w:t>21</w:t>
      </w:r>
      <w:r>
        <w:rPr>
          <w:rFonts w:hint="eastAsia"/>
        </w:rPr>
        <w:t>日）</w:t>
      </w:r>
    </w:p>
    <w:p w:rsidR="002478D9" w:rsidRDefault="002478D9" w:rsidP="00401127"/>
    <w:p w:rsidR="006D5C5D" w:rsidRDefault="006D5C5D" w:rsidP="006D5C5D">
      <w:pPr>
        <w:pStyle w:val="a5"/>
      </w:pPr>
      <w:bookmarkStart w:id="3" w:name="_Toc430851930"/>
      <w:r>
        <w:rPr>
          <w:rFonts w:hint="eastAsia"/>
        </w:rPr>
        <w:t>中巴科技合作品质提升</w:t>
      </w:r>
      <w:bookmarkEnd w:id="3"/>
    </w:p>
    <w:p w:rsidR="006D5C5D" w:rsidRDefault="006D5C5D" w:rsidP="006D5C5D">
      <w:pPr>
        <w:ind w:firstLineChars="200" w:firstLine="420"/>
      </w:pPr>
      <w:r>
        <w:rPr>
          <w:rFonts w:hint="eastAsia"/>
        </w:rPr>
        <w:t>中国和巴西第二届高级别科技创新对话</w:t>
      </w:r>
      <w:r w:rsidR="001D41B6">
        <w:rPr>
          <w:rFonts w:hint="eastAsia"/>
        </w:rPr>
        <w:t>6</w:t>
      </w:r>
      <w:r w:rsidR="001D41B6">
        <w:rPr>
          <w:rFonts w:hint="eastAsia"/>
        </w:rPr>
        <w:t>月</w:t>
      </w:r>
      <w:r>
        <w:rPr>
          <w:rFonts w:hint="eastAsia"/>
        </w:rPr>
        <w:t>19</w:t>
      </w:r>
      <w:r>
        <w:rPr>
          <w:rFonts w:hint="eastAsia"/>
        </w:rPr>
        <w:t>日在巴西利亚举行。对话结束时，双方签署了科技园区领域合作谅解备忘录。</w:t>
      </w:r>
    </w:p>
    <w:p w:rsidR="006D5C5D" w:rsidRDefault="006D5C5D" w:rsidP="006D5C5D">
      <w:r>
        <w:rPr>
          <w:rFonts w:hint="eastAsia"/>
        </w:rPr>
        <w:t xml:space="preserve">    </w:t>
      </w:r>
      <w:r>
        <w:rPr>
          <w:rFonts w:hint="eastAsia"/>
        </w:rPr>
        <w:t>中国与巴西分属于东半球和西半球最大的发展中国家，社会经济发展水平接近，从研发重点领域和技术优势来看，两国各有特点，科技合作具有很强互补性，发展潜力巨大。本着优势互补、互利共赢的原则，两国在空间技术、农牧林业、水产养殖、医药卫生、能源矿产等领域展开了卓有成效的合作。</w:t>
      </w:r>
    </w:p>
    <w:p w:rsidR="006D5C5D" w:rsidRDefault="006D5C5D" w:rsidP="006D5C5D">
      <w:r>
        <w:rPr>
          <w:rFonts w:hint="eastAsia"/>
        </w:rPr>
        <w:t xml:space="preserve">    2012</w:t>
      </w:r>
      <w:r>
        <w:rPr>
          <w:rFonts w:hint="eastAsia"/>
        </w:rPr>
        <w:t>年，中国纳米技术研究中心与巴西国家纳米实验室共同宣布启动纳米技术合作计划，发展两国纳米技术在农业和气象上的应用，以及在环境、节能减排和新材料上的长期研究。同年，“中巴农业科学联合实验室”揭牌，这是我国在海外设立的首个农业联合实验室，标志着两国政府将全面推动农业科技合作，共同应对气候变化和粮食安全等挑战。</w:t>
      </w:r>
    </w:p>
    <w:p w:rsidR="006D5C5D" w:rsidRDefault="006D5C5D" w:rsidP="006D5C5D">
      <w:r>
        <w:rPr>
          <w:rFonts w:hint="eastAsia"/>
        </w:rPr>
        <w:t xml:space="preserve">    2013</w:t>
      </w:r>
      <w:r>
        <w:rPr>
          <w:rFonts w:hint="eastAsia"/>
        </w:rPr>
        <w:t>年，中国国家电网公司与巴西政府达成协议，在特高压输电技术的输出、电气设备生产、智能电表开发等方面展开合作。同年，联想集团宣布斥资</w:t>
      </w:r>
      <w:r>
        <w:rPr>
          <w:rFonts w:hint="eastAsia"/>
        </w:rPr>
        <w:t>1</w:t>
      </w:r>
      <w:r>
        <w:rPr>
          <w:rFonts w:hint="eastAsia"/>
        </w:rPr>
        <w:t>亿美元在巴西建立研发中心，开发企业软件。该研发中心设在著名的坎皮纳斯大学科技园内，主要专注于企业软件和高端服务器研发。</w:t>
      </w:r>
    </w:p>
    <w:p w:rsidR="006D5C5D" w:rsidRDefault="006D5C5D" w:rsidP="006D5C5D">
      <w:r>
        <w:rPr>
          <w:rFonts w:hint="eastAsia"/>
        </w:rPr>
        <w:t xml:space="preserve">    2014</w:t>
      </w:r>
      <w:r>
        <w:rPr>
          <w:rFonts w:hint="eastAsia"/>
        </w:rPr>
        <w:t>年，巴西宣布启用亚马孙国家研究院数据中心，以及全国教育与科研网数据共享中心，这两个中心均使用了华为公司捐赠的云计算技术与设备。同年，百度公司在中巴两国元首见证下，发布了百度葡语版搜索引擎。</w:t>
      </w:r>
      <w:proofErr w:type="gramStart"/>
      <w:r>
        <w:rPr>
          <w:rFonts w:hint="eastAsia"/>
        </w:rPr>
        <w:t>奇虎</w:t>
      </w:r>
      <w:proofErr w:type="gramEnd"/>
      <w:r>
        <w:rPr>
          <w:rFonts w:hint="eastAsia"/>
        </w:rPr>
        <w:t>360</w:t>
      </w:r>
      <w:r>
        <w:rPr>
          <w:rFonts w:hint="eastAsia"/>
        </w:rPr>
        <w:t>公司也与巴西电脑安全技术公司合作，提供了新一代互联网安全系列产品的核心技术。</w:t>
      </w:r>
    </w:p>
    <w:p w:rsidR="006D5C5D" w:rsidRDefault="006D5C5D" w:rsidP="006D5C5D">
      <w:r>
        <w:rPr>
          <w:rFonts w:hint="eastAsia"/>
        </w:rPr>
        <w:t xml:space="preserve">    </w:t>
      </w:r>
      <w:r>
        <w:rPr>
          <w:rFonts w:hint="eastAsia"/>
        </w:rPr>
        <w:t>最为可喜的是，</w:t>
      </w:r>
      <w:r>
        <w:rPr>
          <w:rFonts w:hint="eastAsia"/>
        </w:rPr>
        <w:t>2014</w:t>
      </w:r>
      <w:r>
        <w:rPr>
          <w:rFonts w:hint="eastAsia"/>
        </w:rPr>
        <w:t>年底，中国和巴西联合研制的地球资源卫星</w:t>
      </w:r>
      <w:r>
        <w:rPr>
          <w:rFonts w:hint="eastAsia"/>
        </w:rPr>
        <w:t>04</w:t>
      </w:r>
      <w:r>
        <w:rPr>
          <w:rFonts w:hint="eastAsia"/>
        </w:rPr>
        <w:t>星在太原成功发射升空，这是两国通过长期空间合作成功送入太空的第四颗卫星。为此，中国国家主席习近平同巴西总统罗塞夫互致贺电。中巴两国航天局还签署了关于后继卫星合作项目的意向书。</w:t>
      </w:r>
    </w:p>
    <w:p w:rsidR="007D609F" w:rsidRDefault="006D5C5D" w:rsidP="004A618A">
      <w:pPr>
        <w:jc w:val="right"/>
      </w:pPr>
      <w:r>
        <w:rPr>
          <w:rFonts w:hint="eastAsia"/>
        </w:rPr>
        <w:t xml:space="preserve">        </w:t>
      </w:r>
      <w:r>
        <w:rPr>
          <w:rFonts w:hint="eastAsia"/>
        </w:rPr>
        <w:t>（来源：科技日报，</w:t>
      </w:r>
      <w:r>
        <w:rPr>
          <w:rFonts w:hint="eastAsia"/>
        </w:rPr>
        <w:t>2015</w:t>
      </w:r>
      <w:r>
        <w:rPr>
          <w:rFonts w:hint="eastAsia"/>
        </w:rPr>
        <w:t>年</w:t>
      </w:r>
      <w:r>
        <w:rPr>
          <w:rFonts w:hint="eastAsia"/>
        </w:rPr>
        <w:t>06</w:t>
      </w:r>
      <w:r>
        <w:rPr>
          <w:rFonts w:hint="eastAsia"/>
        </w:rPr>
        <w:t>月</w:t>
      </w:r>
      <w:r>
        <w:rPr>
          <w:rFonts w:hint="eastAsia"/>
        </w:rPr>
        <w:t>22</w:t>
      </w:r>
      <w:r>
        <w:rPr>
          <w:rFonts w:hint="eastAsia"/>
        </w:rPr>
        <w:t>日）</w:t>
      </w:r>
    </w:p>
    <w:p w:rsidR="006D5C5D" w:rsidRDefault="006D5C5D" w:rsidP="006D5C5D"/>
    <w:p w:rsidR="00401127" w:rsidRPr="008037A2" w:rsidRDefault="00401127" w:rsidP="00401127">
      <w:pPr>
        <w:pStyle w:val="a8"/>
        <w:numPr>
          <w:ilvl w:val="0"/>
          <w:numId w:val="1"/>
        </w:numPr>
        <w:spacing w:line="400" w:lineRule="exact"/>
        <w:ind w:firstLineChars="0"/>
        <w:rPr>
          <w:rFonts w:ascii="仿宋_GB2312" w:eastAsia="仿宋_GB2312"/>
          <w:b/>
          <w:sz w:val="28"/>
          <w:szCs w:val="28"/>
        </w:rPr>
      </w:pPr>
      <w:r w:rsidRPr="008037A2">
        <w:rPr>
          <w:rFonts w:ascii="仿宋_GB2312" w:eastAsia="仿宋_GB2312" w:hint="eastAsia"/>
          <w:b/>
          <w:sz w:val="28"/>
          <w:szCs w:val="28"/>
        </w:rPr>
        <w:t>中国与欧洲</w:t>
      </w:r>
      <w:r>
        <w:rPr>
          <w:rFonts w:ascii="仿宋_GB2312" w:eastAsia="仿宋_GB2312" w:hint="eastAsia"/>
          <w:b/>
          <w:sz w:val="28"/>
          <w:szCs w:val="28"/>
        </w:rPr>
        <w:t>加强空间合作</w:t>
      </w:r>
    </w:p>
    <w:p w:rsidR="004E6F19" w:rsidRDefault="004E6F19" w:rsidP="00401127"/>
    <w:p w:rsidR="00CD56D3" w:rsidRDefault="00CD56D3" w:rsidP="00CD56D3">
      <w:pPr>
        <w:pStyle w:val="a5"/>
      </w:pPr>
      <w:bookmarkStart w:id="4" w:name="_Toc430851931"/>
      <w:r>
        <w:rPr>
          <w:rFonts w:hint="eastAsia"/>
        </w:rPr>
        <w:t>SMILE</w:t>
      </w:r>
      <w:r>
        <w:rPr>
          <w:rFonts w:hint="eastAsia"/>
        </w:rPr>
        <w:t>计划入选中欧科学卫星任务</w:t>
      </w:r>
      <w:bookmarkEnd w:id="4"/>
    </w:p>
    <w:p w:rsidR="00D401C4" w:rsidRDefault="00D401C4" w:rsidP="00D401C4">
      <w:pPr>
        <w:ind w:firstLineChars="200" w:firstLine="420"/>
      </w:pPr>
      <w:r>
        <w:rPr>
          <w:rFonts w:hint="eastAsia"/>
        </w:rPr>
        <w:t>6</w:t>
      </w:r>
      <w:r>
        <w:rPr>
          <w:rFonts w:hint="eastAsia"/>
        </w:rPr>
        <w:t>月</w:t>
      </w:r>
      <w:r>
        <w:rPr>
          <w:rFonts w:hint="eastAsia"/>
        </w:rPr>
        <w:t>4</w:t>
      </w:r>
      <w:r>
        <w:rPr>
          <w:rFonts w:hint="eastAsia"/>
        </w:rPr>
        <w:t>日，中国科学院与欧洲空间局联合公布了“中欧联合空间科学卫星任务”的遴选结果。由中科院空间中心空间天气学国家重点实验室和英国伦敦大学学院共同提出的“太阳风—磁层相互作用全景成像卫星计划”（</w:t>
      </w:r>
      <w:r>
        <w:rPr>
          <w:rFonts w:hint="eastAsia"/>
        </w:rPr>
        <w:t>Solar wind Magnetosphere Ionosphere Link Explorer</w:t>
      </w:r>
      <w:r>
        <w:rPr>
          <w:rFonts w:hint="eastAsia"/>
        </w:rPr>
        <w:t>，</w:t>
      </w:r>
      <w:r>
        <w:rPr>
          <w:rFonts w:hint="eastAsia"/>
        </w:rPr>
        <w:t xml:space="preserve"> SMILE</w:t>
      </w:r>
      <w:r>
        <w:rPr>
          <w:rFonts w:hint="eastAsia"/>
        </w:rPr>
        <w:t>）成为双方大型空间探测国际合作项目。</w:t>
      </w:r>
    </w:p>
    <w:p w:rsidR="00D401C4" w:rsidRDefault="00D401C4" w:rsidP="00D401C4">
      <w:r>
        <w:rPr>
          <w:rFonts w:hint="eastAsia"/>
        </w:rPr>
        <w:t xml:space="preserve">    SMILE</w:t>
      </w:r>
      <w:r>
        <w:rPr>
          <w:rFonts w:hint="eastAsia"/>
        </w:rPr>
        <w:t>计划将利用创新的</w:t>
      </w:r>
      <w:r>
        <w:rPr>
          <w:rFonts w:hint="eastAsia"/>
        </w:rPr>
        <w:t>X</w:t>
      </w:r>
      <w:r>
        <w:rPr>
          <w:rFonts w:hint="eastAsia"/>
        </w:rPr>
        <w:t>射线和紫外成像仪器，首次对太阳风和地球磁层之间的相互作用进行全球成像，这将对人类进一步了解太阳活动对地球等离子体环境和空间天气的影响</w:t>
      </w:r>
      <w:bookmarkStart w:id="5" w:name="_GoBack"/>
      <w:bookmarkEnd w:id="5"/>
      <w:r>
        <w:rPr>
          <w:rFonts w:hint="eastAsia"/>
        </w:rPr>
        <w:lastRenderedPageBreak/>
        <w:t>具有重要的科学意义和应用价值。今年</w:t>
      </w:r>
      <w:r>
        <w:rPr>
          <w:rFonts w:hint="eastAsia"/>
        </w:rPr>
        <w:t>4</w:t>
      </w:r>
      <w:r>
        <w:rPr>
          <w:rFonts w:hint="eastAsia"/>
        </w:rPr>
        <w:t>月，由中欧科学家组成的科学评议联合委员会就其科学性、先进性、紧迫性、竞争力、与其他项目的互补性等做了技术筛查。其独一无二的探测方式和蕴含的全新科学突破，</w:t>
      </w:r>
      <w:r w:rsidR="00364F3A">
        <w:rPr>
          <w:rFonts w:hint="eastAsia"/>
        </w:rPr>
        <w:t>使</w:t>
      </w:r>
      <w:r>
        <w:rPr>
          <w:rFonts w:hint="eastAsia"/>
        </w:rPr>
        <w:t>它从</w:t>
      </w:r>
      <w:r>
        <w:rPr>
          <w:rFonts w:hint="eastAsia"/>
        </w:rPr>
        <w:t>13</w:t>
      </w:r>
      <w:r>
        <w:rPr>
          <w:rFonts w:hint="eastAsia"/>
        </w:rPr>
        <w:t>个任务建议中脱颖而出，成为继</w:t>
      </w:r>
      <w:r>
        <w:rPr>
          <w:rFonts w:hint="eastAsia"/>
        </w:rPr>
        <w:t>2003</w:t>
      </w:r>
      <w:r>
        <w:rPr>
          <w:rFonts w:hint="eastAsia"/>
        </w:rPr>
        <w:t>年“双星计划”后，又一大型空间探测国际合作项目。双方给予</w:t>
      </w:r>
      <w:r>
        <w:rPr>
          <w:rFonts w:hint="eastAsia"/>
        </w:rPr>
        <w:t>SMILE</w:t>
      </w:r>
      <w:r>
        <w:rPr>
          <w:rFonts w:hint="eastAsia"/>
        </w:rPr>
        <w:t>计划高度评价。该计划是中欧首次在“联合任务”的整个生命周期内，联合对其定义、实施和数据利用，是双方科学家开展全方位深度合作的新里程碑。下一步，</w:t>
      </w:r>
      <w:r>
        <w:rPr>
          <w:rFonts w:hint="eastAsia"/>
        </w:rPr>
        <w:t>SMILE</w:t>
      </w:r>
      <w:r>
        <w:rPr>
          <w:rFonts w:hint="eastAsia"/>
        </w:rPr>
        <w:t>计划将进入可行性论证阶段。</w:t>
      </w:r>
    </w:p>
    <w:p w:rsidR="00CD56D3" w:rsidRDefault="00D401C4" w:rsidP="00CD56D3">
      <w:r>
        <w:rPr>
          <w:rFonts w:hint="eastAsia"/>
        </w:rPr>
        <w:t xml:space="preserve">    </w:t>
      </w:r>
      <w:r>
        <w:rPr>
          <w:rFonts w:hint="eastAsia"/>
        </w:rPr>
        <w:t>今年</w:t>
      </w:r>
      <w:r>
        <w:rPr>
          <w:rFonts w:hint="eastAsia"/>
        </w:rPr>
        <w:t>1</w:t>
      </w:r>
      <w:r>
        <w:rPr>
          <w:rFonts w:hint="eastAsia"/>
        </w:rPr>
        <w:t>月</w:t>
      </w:r>
      <w:r>
        <w:rPr>
          <w:rFonts w:hint="eastAsia"/>
        </w:rPr>
        <w:t>19</w:t>
      </w:r>
      <w:r>
        <w:rPr>
          <w:rFonts w:hint="eastAsia"/>
        </w:rPr>
        <w:t>日，中欧双方同步正式发布征集“联合任务”的建议通知，截止到</w:t>
      </w:r>
      <w:r>
        <w:rPr>
          <w:rFonts w:hint="eastAsia"/>
        </w:rPr>
        <w:t>3</w:t>
      </w:r>
      <w:r>
        <w:rPr>
          <w:rFonts w:hint="eastAsia"/>
        </w:rPr>
        <w:t>月</w:t>
      </w:r>
      <w:r>
        <w:rPr>
          <w:rFonts w:hint="eastAsia"/>
        </w:rPr>
        <w:t>16</w:t>
      </w:r>
      <w:r>
        <w:rPr>
          <w:rFonts w:hint="eastAsia"/>
        </w:rPr>
        <w:t>日，共收到了</w:t>
      </w:r>
      <w:r>
        <w:rPr>
          <w:rFonts w:hint="eastAsia"/>
        </w:rPr>
        <w:t>13</w:t>
      </w:r>
      <w:r>
        <w:rPr>
          <w:rFonts w:hint="eastAsia"/>
        </w:rPr>
        <w:t>个联合任务建议，研究领域涵盖空间天文、太阳物理、空间物理、太阳系探测或空间基础物理。在</w:t>
      </w:r>
      <w:r>
        <w:rPr>
          <w:rFonts w:hint="eastAsia"/>
        </w:rPr>
        <w:t>5</w:t>
      </w:r>
      <w:r>
        <w:rPr>
          <w:rFonts w:hint="eastAsia"/>
        </w:rPr>
        <w:t>月底举行的第</w:t>
      </w:r>
      <w:r>
        <w:rPr>
          <w:rFonts w:hint="eastAsia"/>
        </w:rPr>
        <w:t>11</w:t>
      </w:r>
      <w:r>
        <w:rPr>
          <w:rFonts w:hint="eastAsia"/>
        </w:rPr>
        <w:t>届中欧空间科学双边研讨会上，双方一致同意</w:t>
      </w:r>
      <w:r>
        <w:rPr>
          <w:rFonts w:hint="eastAsia"/>
        </w:rPr>
        <w:t>SMILE</w:t>
      </w:r>
      <w:r>
        <w:rPr>
          <w:rFonts w:hint="eastAsia"/>
        </w:rPr>
        <w:t>任务入选中欧联合空间科学卫星任务。据了解，</w:t>
      </w:r>
      <w:r>
        <w:rPr>
          <w:rFonts w:hint="eastAsia"/>
        </w:rPr>
        <w:t>SMILE</w:t>
      </w:r>
      <w:r>
        <w:rPr>
          <w:rFonts w:hint="eastAsia"/>
        </w:rPr>
        <w:t>计划作为我国科学卫星系列的重要新成员，拟于</w:t>
      </w:r>
      <w:r>
        <w:rPr>
          <w:rFonts w:hint="eastAsia"/>
        </w:rPr>
        <w:t>2021</w:t>
      </w:r>
      <w:r>
        <w:rPr>
          <w:rFonts w:hint="eastAsia"/>
        </w:rPr>
        <w:t>年发射。</w:t>
      </w:r>
    </w:p>
    <w:p w:rsidR="00CD56D3" w:rsidRDefault="00CD56D3" w:rsidP="00CD56D3">
      <w:pPr>
        <w:jc w:val="right"/>
      </w:pPr>
      <w:r>
        <w:rPr>
          <w:rFonts w:hint="eastAsia"/>
        </w:rPr>
        <w:t>（来源：科技日报，</w:t>
      </w:r>
      <w:r>
        <w:rPr>
          <w:rFonts w:hint="eastAsia"/>
        </w:rPr>
        <w:t>2015</w:t>
      </w:r>
      <w:r>
        <w:rPr>
          <w:rFonts w:hint="eastAsia"/>
        </w:rPr>
        <w:t>年</w:t>
      </w:r>
      <w:r>
        <w:rPr>
          <w:rFonts w:hint="eastAsia"/>
        </w:rPr>
        <w:t>06</w:t>
      </w:r>
      <w:r>
        <w:rPr>
          <w:rFonts w:hint="eastAsia"/>
        </w:rPr>
        <w:t>月</w:t>
      </w:r>
      <w:r>
        <w:rPr>
          <w:rFonts w:hint="eastAsia"/>
        </w:rPr>
        <w:t>05</w:t>
      </w:r>
      <w:r>
        <w:rPr>
          <w:rFonts w:hint="eastAsia"/>
        </w:rPr>
        <w:t>日）</w:t>
      </w:r>
    </w:p>
    <w:p w:rsidR="00D401C4" w:rsidRDefault="00D401C4" w:rsidP="00CD56D3">
      <w:pPr>
        <w:jc w:val="right"/>
      </w:pPr>
    </w:p>
    <w:p w:rsidR="00401127" w:rsidRDefault="00401127" w:rsidP="00401127">
      <w:pPr>
        <w:pStyle w:val="a8"/>
        <w:numPr>
          <w:ilvl w:val="0"/>
          <w:numId w:val="1"/>
        </w:numPr>
        <w:spacing w:line="400" w:lineRule="exact"/>
        <w:ind w:firstLineChars="0"/>
        <w:rPr>
          <w:rFonts w:ascii="仿宋_GB2312" w:eastAsia="仿宋_GB2312"/>
          <w:b/>
          <w:sz w:val="28"/>
          <w:szCs w:val="28"/>
        </w:rPr>
      </w:pPr>
      <w:r w:rsidRPr="00976A85">
        <w:rPr>
          <w:rFonts w:ascii="仿宋_GB2312" w:eastAsia="仿宋_GB2312" w:hint="eastAsia"/>
          <w:b/>
          <w:sz w:val="28"/>
          <w:szCs w:val="28"/>
        </w:rPr>
        <w:t>中国与美国的合作</w:t>
      </w:r>
    </w:p>
    <w:p w:rsidR="005348F9" w:rsidRPr="005348F9" w:rsidRDefault="005348F9" w:rsidP="005348F9"/>
    <w:p w:rsidR="005348F9" w:rsidRDefault="005348F9" w:rsidP="005348F9">
      <w:pPr>
        <w:pStyle w:val="a5"/>
      </w:pPr>
      <w:bookmarkStart w:id="6" w:name="_Toc430851932"/>
      <w:r>
        <w:rPr>
          <w:rFonts w:hint="eastAsia"/>
        </w:rPr>
        <w:t>中美决定促进清洁能源科技合作</w:t>
      </w:r>
      <w:bookmarkEnd w:id="6"/>
    </w:p>
    <w:p w:rsidR="002D4C2B" w:rsidRDefault="004A618A" w:rsidP="002D4C2B">
      <w:pPr>
        <w:ind w:firstLineChars="200" w:firstLine="420"/>
      </w:pPr>
      <w:r>
        <w:rPr>
          <w:rFonts w:hint="eastAsia"/>
        </w:rPr>
        <w:t>6</w:t>
      </w:r>
      <w:r>
        <w:rPr>
          <w:rFonts w:hint="eastAsia"/>
        </w:rPr>
        <w:t>月</w:t>
      </w:r>
      <w:r>
        <w:rPr>
          <w:rFonts w:hint="eastAsia"/>
        </w:rPr>
        <w:t>3</w:t>
      </w:r>
      <w:r>
        <w:rPr>
          <w:rFonts w:hint="eastAsia"/>
        </w:rPr>
        <w:t>日，</w:t>
      </w:r>
      <w:r w:rsidR="002D4C2B">
        <w:rPr>
          <w:rFonts w:hint="eastAsia"/>
        </w:rPr>
        <w:t>中美清洁能源联合研究中心（</w:t>
      </w:r>
      <w:r w:rsidR="002D4C2B">
        <w:rPr>
          <w:rFonts w:hint="eastAsia"/>
        </w:rPr>
        <w:t>CERC</w:t>
      </w:r>
      <w:r w:rsidR="007B2C48">
        <w:rPr>
          <w:rFonts w:hint="eastAsia"/>
        </w:rPr>
        <w:t>）指导委员会第七次会议</w:t>
      </w:r>
      <w:r w:rsidR="002D4C2B">
        <w:rPr>
          <w:rFonts w:hint="eastAsia"/>
        </w:rPr>
        <w:t>在美国首都华盛顿</w:t>
      </w:r>
      <w:r>
        <w:rPr>
          <w:rFonts w:hint="eastAsia"/>
        </w:rPr>
        <w:t>举行</w:t>
      </w:r>
      <w:r w:rsidR="002D4C2B">
        <w:rPr>
          <w:rFonts w:hint="eastAsia"/>
        </w:rPr>
        <w:t>。本次会议旨在落实</w:t>
      </w:r>
      <w:r w:rsidR="002D4C2B">
        <w:rPr>
          <w:rFonts w:hint="eastAsia"/>
        </w:rPr>
        <w:t>2014</w:t>
      </w:r>
      <w:r w:rsidR="002D4C2B">
        <w:rPr>
          <w:rFonts w:hint="eastAsia"/>
        </w:rPr>
        <w:t>年</w:t>
      </w:r>
      <w:r w:rsidR="002D4C2B">
        <w:rPr>
          <w:rFonts w:hint="eastAsia"/>
        </w:rPr>
        <w:t>11</w:t>
      </w:r>
      <w:r w:rsidR="002D4C2B">
        <w:rPr>
          <w:rFonts w:hint="eastAsia"/>
        </w:rPr>
        <w:t>月习近平主席与奥巴马总统达成的《中美两国元首北京会晤主要共识和成果》和《中美气候变化联合声明》，进一步促进两国在清洁能源领域的科技合作，共同应对全球气候变化。</w:t>
      </w:r>
    </w:p>
    <w:p w:rsidR="002D4C2B" w:rsidRDefault="002D4C2B" w:rsidP="002D4C2B">
      <w:r>
        <w:rPr>
          <w:rFonts w:hint="eastAsia"/>
        </w:rPr>
        <w:t xml:space="preserve">    </w:t>
      </w:r>
      <w:r>
        <w:rPr>
          <w:rFonts w:hint="eastAsia"/>
        </w:rPr>
        <w:t>中国科技部部长万钢与美国能源部部长莫尼兹共同主持了今天的会议，中国国家能源局副局长史玉波出席并发表讲话。来自两国政府、高校、研究机构和企业的近百名代表参加了会议。会议总结了</w:t>
      </w:r>
      <w:r>
        <w:rPr>
          <w:rFonts w:hint="eastAsia"/>
        </w:rPr>
        <w:t>CERC</w:t>
      </w:r>
      <w:r>
        <w:rPr>
          <w:rFonts w:hint="eastAsia"/>
        </w:rPr>
        <w:t>第一阶段（</w:t>
      </w:r>
      <w:r>
        <w:rPr>
          <w:rFonts w:hint="eastAsia"/>
        </w:rPr>
        <w:t>2011</w:t>
      </w:r>
      <w:r>
        <w:rPr>
          <w:rFonts w:hint="eastAsia"/>
        </w:rPr>
        <w:t>年—</w:t>
      </w:r>
      <w:r>
        <w:rPr>
          <w:rFonts w:hint="eastAsia"/>
        </w:rPr>
        <w:t>2015</w:t>
      </w:r>
      <w:r>
        <w:rPr>
          <w:rFonts w:hint="eastAsia"/>
        </w:rPr>
        <w:t>年）的合作成果，来自清华大学、华中科技大学、住建部科技发展促进中心的中方代表和来自密歇根大学、西弗吉尼亚大学、劳伦斯伯克利国家实验室的美方代表共同就</w:t>
      </w:r>
      <w:r>
        <w:rPr>
          <w:rFonts w:hint="eastAsia"/>
        </w:rPr>
        <w:t>CERC</w:t>
      </w:r>
      <w:r>
        <w:rPr>
          <w:rFonts w:hint="eastAsia"/>
        </w:rPr>
        <w:t>第二阶段（</w:t>
      </w:r>
      <w:r>
        <w:rPr>
          <w:rFonts w:hint="eastAsia"/>
        </w:rPr>
        <w:t>2016</w:t>
      </w:r>
      <w:r>
        <w:rPr>
          <w:rFonts w:hint="eastAsia"/>
        </w:rPr>
        <w:t>年—</w:t>
      </w:r>
      <w:r>
        <w:rPr>
          <w:rFonts w:hint="eastAsia"/>
        </w:rPr>
        <w:t>2020</w:t>
      </w:r>
      <w:r>
        <w:rPr>
          <w:rFonts w:hint="eastAsia"/>
        </w:rPr>
        <w:t>年）清洁汽车、清洁煤、建筑节能这三个产学研联盟工作目标进行了汇报。此外，知识产权联合工作组和</w:t>
      </w:r>
      <w:r>
        <w:rPr>
          <w:rFonts w:hint="eastAsia"/>
        </w:rPr>
        <w:t>CERC</w:t>
      </w:r>
      <w:r>
        <w:rPr>
          <w:rFonts w:hint="eastAsia"/>
        </w:rPr>
        <w:t>第二阶段新增领域“能源与水”的中美双方代表也介绍了各自工作情况。</w:t>
      </w:r>
    </w:p>
    <w:p w:rsidR="005348F9" w:rsidRDefault="002D4C2B" w:rsidP="002D4C2B">
      <w:r>
        <w:rPr>
          <w:rFonts w:hint="eastAsia"/>
        </w:rPr>
        <w:t xml:space="preserve">    </w:t>
      </w:r>
      <w:r>
        <w:rPr>
          <w:rFonts w:hint="eastAsia"/>
        </w:rPr>
        <w:t>会议对</w:t>
      </w:r>
      <w:r>
        <w:rPr>
          <w:rFonts w:hint="eastAsia"/>
        </w:rPr>
        <w:t>CERC</w:t>
      </w:r>
      <w:r>
        <w:rPr>
          <w:rFonts w:hint="eastAsia"/>
        </w:rPr>
        <w:t>取得的进展给予积极评价。双方一致认为</w:t>
      </w:r>
      <w:r>
        <w:rPr>
          <w:rFonts w:hint="eastAsia"/>
        </w:rPr>
        <w:t>CERC</w:t>
      </w:r>
      <w:r>
        <w:rPr>
          <w:rFonts w:hint="eastAsia"/>
        </w:rPr>
        <w:t>以其创新的合作模式和丰硕的成果，成为两国科技创新合作的标志性项目，其经验值得推广。双方希望</w:t>
      </w:r>
      <w:r>
        <w:rPr>
          <w:rFonts w:hint="eastAsia"/>
        </w:rPr>
        <w:t>CERC</w:t>
      </w:r>
      <w:r>
        <w:rPr>
          <w:rFonts w:hint="eastAsia"/>
        </w:rPr>
        <w:t>第二阶段能在示范工程和技术产业化等方面取得更多亮点成果。</w:t>
      </w:r>
    </w:p>
    <w:p w:rsidR="005348F9" w:rsidRDefault="005348F9" w:rsidP="00DF3BD5">
      <w:pPr>
        <w:jc w:val="right"/>
      </w:pPr>
      <w:r>
        <w:rPr>
          <w:rFonts w:hint="eastAsia"/>
        </w:rPr>
        <w:t>（来源：科技日报，</w:t>
      </w:r>
      <w:r>
        <w:rPr>
          <w:rFonts w:hint="eastAsia"/>
        </w:rPr>
        <w:t>2015</w:t>
      </w:r>
      <w:r>
        <w:rPr>
          <w:rFonts w:hint="eastAsia"/>
        </w:rPr>
        <w:t>年</w:t>
      </w:r>
      <w:r>
        <w:rPr>
          <w:rFonts w:hint="eastAsia"/>
        </w:rPr>
        <w:t>06</w:t>
      </w:r>
      <w:r>
        <w:rPr>
          <w:rFonts w:hint="eastAsia"/>
        </w:rPr>
        <w:t>月</w:t>
      </w:r>
      <w:r>
        <w:rPr>
          <w:rFonts w:hint="eastAsia"/>
        </w:rPr>
        <w:t>03</w:t>
      </w:r>
      <w:r>
        <w:rPr>
          <w:rFonts w:hint="eastAsia"/>
        </w:rPr>
        <w:t>日）</w:t>
      </w:r>
    </w:p>
    <w:p w:rsidR="00DF3BD5" w:rsidRDefault="00DF3BD5" w:rsidP="00DF3BD5">
      <w:pPr>
        <w:jc w:val="left"/>
      </w:pPr>
    </w:p>
    <w:p w:rsidR="00401127" w:rsidRDefault="00401127" w:rsidP="00401127">
      <w:pPr>
        <w:pStyle w:val="a8"/>
        <w:numPr>
          <w:ilvl w:val="0"/>
          <w:numId w:val="1"/>
        </w:numPr>
        <w:spacing w:line="400" w:lineRule="exact"/>
        <w:ind w:firstLineChars="0"/>
        <w:rPr>
          <w:rFonts w:ascii="仿宋_GB2312" w:eastAsia="仿宋_GB2312"/>
          <w:b/>
          <w:sz w:val="28"/>
          <w:szCs w:val="28"/>
        </w:rPr>
      </w:pPr>
      <w:r w:rsidRPr="00401127">
        <w:rPr>
          <w:rFonts w:ascii="仿宋_GB2312" w:eastAsia="仿宋_GB2312" w:hint="eastAsia"/>
          <w:b/>
          <w:sz w:val="28"/>
          <w:szCs w:val="28"/>
        </w:rPr>
        <w:t>中国与斯里兰卡加强科技合作</w:t>
      </w:r>
    </w:p>
    <w:p w:rsidR="005348F9" w:rsidRDefault="005348F9" w:rsidP="005348F9"/>
    <w:p w:rsidR="005348F9" w:rsidRDefault="005348F9" w:rsidP="005348F9">
      <w:pPr>
        <w:pStyle w:val="a5"/>
      </w:pPr>
      <w:bookmarkStart w:id="7" w:name="_Toc430851933"/>
      <w:r>
        <w:rPr>
          <w:rFonts w:hint="eastAsia"/>
        </w:rPr>
        <w:t>中国斯里兰卡科技合作一拍即合</w:t>
      </w:r>
      <w:bookmarkEnd w:id="7"/>
    </w:p>
    <w:p w:rsidR="005348F9" w:rsidRDefault="005348F9" w:rsidP="00C90D2B">
      <w:pPr>
        <w:ind w:firstLineChars="200" w:firstLine="420"/>
      </w:pPr>
      <w:r>
        <w:rPr>
          <w:rFonts w:hint="eastAsia"/>
        </w:rPr>
        <w:t>在</w:t>
      </w:r>
      <w:r>
        <w:rPr>
          <w:rFonts w:hint="eastAsia"/>
        </w:rPr>
        <w:t>6</w:t>
      </w:r>
      <w:r>
        <w:rPr>
          <w:rFonts w:hint="eastAsia"/>
        </w:rPr>
        <w:t>月</w:t>
      </w:r>
      <w:r>
        <w:rPr>
          <w:rFonts w:hint="eastAsia"/>
        </w:rPr>
        <w:t>12</w:t>
      </w:r>
      <w:r w:rsidR="00B47016">
        <w:rPr>
          <w:rFonts w:hint="eastAsia"/>
        </w:rPr>
        <w:t>日</w:t>
      </w:r>
      <w:r>
        <w:rPr>
          <w:rFonts w:hint="eastAsia"/>
        </w:rPr>
        <w:t>开幕的第三届中国南亚博览会上，斯里兰卡高等教育与研究部</w:t>
      </w:r>
      <w:r w:rsidR="00AA7093">
        <w:rPr>
          <w:rFonts w:hint="eastAsia"/>
        </w:rPr>
        <w:t>和</w:t>
      </w:r>
      <w:r w:rsidR="00EA6206">
        <w:rPr>
          <w:rFonts w:hint="eastAsia"/>
        </w:rPr>
        <w:t>中国科技部签署了《共建中斯生物技术联合实验室和共同组织中斯科学家交流计划》的合作谅解备忘录</w:t>
      </w:r>
      <w:r w:rsidR="00C90D2B">
        <w:rPr>
          <w:rFonts w:hint="eastAsia"/>
        </w:rPr>
        <w:t>。</w:t>
      </w:r>
      <w:r>
        <w:rPr>
          <w:rFonts w:hint="eastAsia"/>
        </w:rPr>
        <w:t xml:space="preserve"> </w:t>
      </w:r>
      <w:r>
        <w:rPr>
          <w:rFonts w:hint="eastAsia"/>
        </w:rPr>
        <w:t>通过共建中斯生物技术联合实验室，双方将推动研究机构间建立长期稳定的伙伴关系，促进生物技术领域的高水平联合研究、科技人员交流与培养、适用技术转移，及生物技术在农业、工业和医疗卫生等领域的推广应用，推动双方技术水平提升和相关行业发展。</w:t>
      </w:r>
    </w:p>
    <w:p w:rsidR="005348F9" w:rsidRDefault="005348F9" w:rsidP="005348F9">
      <w:r>
        <w:rPr>
          <w:rFonts w:hint="eastAsia"/>
        </w:rPr>
        <w:lastRenderedPageBreak/>
        <w:t xml:space="preserve">    </w:t>
      </w:r>
      <w:r>
        <w:rPr>
          <w:rFonts w:hint="eastAsia"/>
        </w:rPr>
        <w:t>中斯科学家交流计划旨在拓展两国科学家和研究人员的交流渠道，增加两国科学家和研究人员相互了解和友谊，为两国科技合作巩固基础和注入动力。双方将在该计划框架下，开展积极探讨共同举办学术研讨会、组织科研人员短期交流、互派访问学者等合作。近年来，云南与斯里兰卡国高层领导交往不断，有力推动了双方的交流与合作，即将动工的双方共建的“中国（云南）—斯里兰卡农业高新技术示范园”就是例证。</w:t>
      </w:r>
    </w:p>
    <w:p w:rsidR="005348F9" w:rsidRDefault="005348F9" w:rsidP="005348F9">
      <w:r>
        <w:rPr>
          <w:rFonts w:hint="eastAsia"/>
        </w:rPr>
        <w:t xml:space="preserve">    </w:t>
      </w:r>
      <w:r>
        <w:rPr>
          <w:rFonts w:hint="eastAsia"/>
        </w:rPr>
        <w:t>“中国（云南）—斯里兰卡农业高新技术示范园”项目位于斯里兰卡科伦坡，项目占地</w:t>
      </w:r>
      <w:r>
        <w:rPr>
          <w:rFonts w:hint="eastAsia"/>
        </w:rPr>
        <w:t>2</w:t>
      </w:r>
      <w:r>
        <w:rPr>
          <w:rFonts w:hint="eastAsia"/>
        </w:rPr>
        <w:t>公顷，其中核心展示区即温棚立体设施农业展示栽培区</w:t>
      </w:r>
      <w:r>
        <w:rPr>
          <w:rFonts w:hint="eastAsia"/>
        </w:rPr>
        <w:t>1600</w:t>
      </w:r>
      <w:r>
        <w:rPr>
          <w:rFonts w:hint="eastAsia"/>
        </w:rPr>
        <w:t>平方米，主要种植蔬菜、花卉、中药材等品种，并辐射带动周边地区经济社会发展。项目在茶叶种植土壤改良、水稻试验种植、蔬菜品种培育、花卉资源开发和鲜切花生产等诸多方面开展合作，并逐步引进中国及相关国家高等农业院校、科研单位、知名企业及高级专家，到示范园开展技术转移与研究，使其成为斯里兰卡农业技术转移、示范及培训基地，同时建立多层次合作机制和培训体系，并将农业科技合作模式辐射南亚其他国家。</w:t>
      </w:r>
    </w:p>
    <w:p w:rsidR="005348F9" w:rsidRDefault="005348F9" w:rsidP="005348F9">
      <w:r>
        <w:rPr>
          <w:rFonts w:hint="eastAsia"/>
        </w:rPr>
        <w:t xml:space="preserve">    </w:t>
      </w:r>
      <w:r>
        <w:rPr>
          <w:rFonts w:hint="eastAsia"/>
        </w:rPr>
        <w:t>同时，针对斯里兰卡在粮食、蔬菜、花卉、茶叶、药材技术等领域专业人才亟待培养、科研基础设施设备亟待加强、科研力量和平台亟待完善等问题，下一步，云南省科技厅云南农村科技服务中心拟联合斯里兰卡工业技术研究院及云南现代民族药工程技术研究中心联合共建“中国（云南）—斯里兰卡生物技术实验室”，初步指导斯里兰卡对天然药物、花卉、茶叶等资源的野外资源调研，保存标本，建立种质资源</w:t>
      </w:r>
      <w:proofErr w:type="gramStart"/>
      <w:r>
        <w:rPr>
          <w:rFonts w:hint="eastAsia"/>
        </w:rPr>
        <w:t>圃</w:t>
      </w:r>
      <w:proofErr w:type="gramEnd"/>
      <w:r>
        <w:rPr>
          <w:rFonts w:hint="eastAsia"/>
        </w:rPr>
        <w:t>等工作。</w:t>
      </w:r>
    </w:p>
    <w:p w:rsidR="005348F9" w:rsidRDefault="005348F9" w:rsidP="00EA6206">
      <w:pPr>
        <w:jc w:val="right"/>
      </w:pPr>
      <w:r>
        <w:rPr>
          <w:rFonts w:hint="eastAsia"/>
        </w:rPr>
        <w:t xml:space="preserve">    </w:t>
      </w:r>
      <w:r>
        <w:rPr>
          <w:rFonts w:hint="eastAsia"/>
        </w:rPr>
        <w:t>（来源：科技日报，</w:t>
      </w:r>
      <w:r>
        <w:rPr>
          <w:rFonts w:hint="eastAsia"/>
        </w:rPr>
        <w:t>2015</w:t>
      </w:r>
      <w:r>
        <w:rPr>
          <w:rFonts w:hint="eastAsia"/>
        </w:rPr>
        <w:t>年</w:t>
      </w:r>
      <w:r>
        <w:rPr>
          <w:rFonts w:hint="eastAsia"/>
        </w:rPr>
        <w:t>06</w:t>
      </w:r>
      <w:r>
        <w:rPr>
          <w:rFonts w:hint="eastAsia"/>
        </w:rPr>
        <w:t>月</w:t>
      </w:r>
      <w:r>
        <w:rPr>
          <w:rFonts w:hint="eastAsia"/>
        </w:rPr>
        <w:t>19</w:t>
      </w:r>
      <w:r>
        <w:rPr>
          <w:rFonts w:hint="eastAsia"/>
        </w:rPr>
        <w:t>日）</w:t>
      </w:r>
    </w:p>
    <w:sectPr w:rsidR="005348F9" w:rsidSect="00B778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A0" w:rsidRDefault="002822A0" w:rsidP="00BC7C38">
      <w:r>
        <w:separator/>
      </w:r>
    </w:p>
  </w:endnote>
  <w:endnote w:type="continuationSeparator" w:id="0">
    <w:p w:rsidR="002822A0" w:rsidRDefault="002822A0" w:rsidP="00BC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A0" w:rsidRDefault="002822A0" w:rsidP="00BC7C38">
      <w:r>
        <w:separator/>
      </w:r>
    </w:p>
  </w:footnote>
  <w:footnote w:type="continuationSeparator" w:id="0">
    <w:p w:rsidR="002822A0" w:rsidRDefault="002822A0" w:rsidP="00BC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FB9"/>
    <w:multiLevelType w:val="hybridMultilevel"/>
    <w:tmpl w:val="EFBC84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38"/>
    <w:rsid w:val="000030FA"/>
    <w:rsid w:val="000350BF"/>
    <w:rsid w:val="00052B23"/>
    <w:rsid w:val="0009610A"/>
    <w:rsid w:val="000A6583"/>
    <w:rsid w:val="000B38F3"/>
    <w:rsid w:val="000C461E"/>
    <w:rsid w:val="00114603"/>
    <w:rsid w:val="001315BD"/>
    <w:rsid w:val="00154CBF"/>
    <w:rsid w:val="00166F5A"/>
    <w:rsid w:val="001767F0"/>
    <w:rsid w:val="001934A7"/>
    <w:rsid w:val="001C0012"/>
    <w:rsid w:val="001C4F55"/>
    <w:rsid w:val="001D41B6"/>
    <w:rsid w:val="001E3F45"/>
    <w:rsid w:val="00216985"/>
    <w:rsid w:val="002272AE"/>
    <w:rsid w:val="002478D9"/>
    <w:rsid w:val="002822A0"/>
    <w:rsid w:val="002A32EE"/>
    <w:rsid w:val="002D4C2B"/>
    <w:rsid w:val="002F01C1"/>
    <w:rsid w:val="002F612B"/>
    <w:rsid w:val="00335321"/>
    <w:rsid w:val="00360B27"/>
    <w:rsid w:val="00364F3A"/>
    <w:rsid w:val="00396786"/>
    <w:rsid w:val="003C0A0E"/>
    <w:rsid w:val="003D5573"/>
    <w:rsid w:val="00401127"/>
    <w:rsid w:val="00407D5A"/>
    <w:rsid w:val="0043605C"/>
    <w:rsid w:val="00445CB4"/>
    <w:rsid w:val="0044682B"/>
    <w:rsid w:val="00452995"/>
    <w:rsid w:val="00460780"/>
    <w:rsid w:val="0049704E"/>
    <w:rsid w:val="004A0A02"/>
    <w:rsid w:val="004A618A"/>
    <w:rsid w:val="004E6F19"/>
    <w:rsid w:val="00501408"/>
    <w:rsid w:val="00523A32"/>
    <w:rsid w:val="005348F9"/>
    <w:rsid w:val="00545066"/>
    <w:rsid w:val="00555DFA"/>
    <w:rsid w:val="00591332"/>
    <w:rsid w:val="005A6879"/>
    <w:rsid w:val="005E7DF2"/>
    <w:rsid w:val="005F4FB4"/>
    <w:rsid w:val="0062143B"/>
    <w:rsid w:val="00631416"/>
    <w:rsid w:val="00655185"/>
    <w:rsid w:val="006609F7"/>
    <w:rsid w:val="00676371"/>
    <w:rsid w:val="0068470D"/>
    <w:rsid w:val="00685CF4"/>
    <w:rsid w:val="006C20B8"/>
    <w:rsid w:val="006D5C5D"/>
    <w:rsid w:val="006F4E14"/>
    <w:rsid w:val="006F637B"/>
    <w:rsid w:val="00704FCE"/>
    <w:rsid w:val="0071595C"/>
    <w:rsid w:val="0071795E"/>
    <w:rsid w:val="00727B14"/>
    <w:rsid w:val="007574F7"/>
    <w:rsid w:val="007926D1"/>
    <w:rsid w:val="007B2C48"/>
    <w:rsid w:val="007C68C3"/>
    <w:rsid w:val="007D4ACB"/>
    <w:rsid w:val="007D609F"/>
    <w:rsid w:val="007D726B"/>
    <w:rsid w:val="008037A2"/>
    <w:rsid w:val="008127E2"/>
    <w:rsid w:val="008434D3"/>
    <w:rsid w:val="008861E5"/>
    <w:rsid w:val="00897344"/>
    <w:rsid w:val="008A1EE0"/>
    <w:rsid w:val="008A34D8"/>
    <w:rsid w:val="008C02F4"/>
    <w:rsid w:val="008D0C02"/>
    <w:rsid w:val="008F38D4"/>
    <w:rsid w:val="00906198"/>
    <w:rsid w:val="009166F1"/>
    <w:rsid w:val="0093101E"/>
    <w:rsid w:val="00975E54"/>
    <w:rsid w:val="00976A85"/>
    <w:rsid w:val="00987B19"/>
    <w:rsid w:val="009E139F"/>
    <w:rsid w:val="009F673C"/>
    <w:rsid w:val="00A32557"/>
    <w:rsid w:val="00A67E04"/>
    <w:rsid w:val="00A72729"/>
    <w:rsid w:val="00A85B17"/>
    <w:rsid w:val="00AA7093"/>
    <w:rsid w:val="00AA782C"/>
    <w:rsid w:val="00AB0ACC"/>
    <w:rsid w:val="00B12C03"/>
    <w:rsid w:val="00B22347"/>
    <w:rsid w:val="00B3463F"/>
    <w:rsid w:val="00B45E66"/>
    <w:rsid w:val="00B47016"/>
    <w:rsid w:val="00B53960"/>
    <w:rsid w:val="00B7782A"/>
    <w:rsid w:val="00B86717"/>
    <w:rsid w:val="00BC0C13"/>
    <w:rsid w:val="00BC7C38"/>
    <w:rsid w:val="00BE00C9"/>
    <w:rsid w:val="00BE750D"/>
    <w:rsid w:val="00BF6A51"/>
    <w:rsid w:val="00C34C44"/>
    <w:rsid w:val="00C54F85"/>
    <w:rsid w:val="00C8547C"/>
    <w:rsid w:val="00C90D2B"/>
    <w:rsid w:val="00CD56D3"/>
    <w:rsid w:val="00D401C4"/>
    <w:rsid w:val="00D76BF3"/>
    <w:rsid w:val="00D77133"/>
    <w:rsid w:val="00D83720"/>
    <w:rsid w:val="00D90626"/>
    <w:rsid w:val="00DA78A5"/>
    <w:rsid w:val="00DB3575"/>
    <w:rsid w:val="00DB6C6F"/>
    <w:rsid w:val="00DF3BD5"/>
    <w:rsid w:val="00E64ECD"/>
    <w:rsid w:val="00E70245"/>
    <w:rsid w:val="00E82ACA"/>
    <w:rsid w:val="00EA6206"/>
    <w:rsid w:val="00EE323C"/>
    <w:rsid w:val="00EE4DF0"/>
    <w:rsid w:val="00EE667F"/>
    <w:rsid w:val="00F80F7F"/>
    <w:rsid w:val="00FA3B43"/>
    <w:rsid w:val="00FA7896"/>
    <w:rsid w:val="00FD743C"/>
    <w:rsid w:val="00FE1A22"/>
    <w:rsid w:val="00FE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7C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C38"/>
    <w:rPr>
      <w:sz w:val="18"/>
      <w:szCs w:val="18"/>
    </w:rPr>
  </w:style>
  <w:style w:type="paragraph" w:styleId="a4">
    <w:name w:val="footer"/>
    <w:basedOn w:val="a"/>
    <w:link w:val="Char0"/>
    <w:uiPriority w:val="99"/>
    <w:unhideWhenUsed/>
    <w:rsid w:val="00BC7C38"/>
    <w:pPr>
      <w:tabs>
        <w:tab w:val="center" w:pos="4153"/>
        <w:tab w:val="right" w:pos="8306"/>
      </w:tabs>
      <w:snapToGrid w:val="0"/>
      <w:jc w:val="left"/>
    </w:pPr>
    <w:rPr>
      <w:sz w:val="18"/>
      <w:szCs w:val="18"/>
    </w:rPr>
  </w:style>
  <w:style w:type="character" w:customStyle="1" w:styleId="Char0">
    <w:name w:val="页脚 Char"/>
    <w:basedOn w:val="a0"/>
    <w:link w:val="a4"/>
    <w:uiPriority w:val="99"/>
    <w:rsid w:val="00BC7C38"/>
    <w:rPr>
      <w:sz w:val="18"/>
      <w:szCs w:val="18"/>
    </w:rPr>
  </w:style>
  <w:style w:type="character" w:customStyle="1" w:styleId="1Char">
    <w:name w:val="标题 1 Char"/>
    <w:basedOn w:val="a0"/>
    <w:link w:val="1"/>
    <w:uiPriority w:val="9"/>
    <w:rsid w:val="00BC7C38"/>
    <w:rPr>
      <w:b/>
      <w:bCs/>
      <w:kern w:val="44"/>
      <w:sz w:val="44"/>
      <w:szCs w:val="44"/>
    </w:rPr>
  </w:style>
  <w:style w:type="paragraph" w:styleId="TOC">
    <w:name w:val="TOC Heading"/>
    <w:basedOn w:val="1"/>
    <w:next w:val="a"/>
    <w:uiPriority w:val="39"/>
    <w:unhideWhenUsed/>
    <w:qFormat/>
    <w:rsid w:val="00BC7C38"/>
    <w:pPr>
      <w:outlineLvl w:val="9"/>
    </w:pPr>
    <w:rPr>
      <w:rFonts w:ascii="Calibri" w:eastAsia="宋体" w:hAnsi="Calibri" w:cs="Times New Roman"/>
    </w:rPr>
  </w:style>
  <w:style w:type="paragraph" w:styleId="a5">
    <w:name w:val="Title"/>
    <w:basedOn w:val="a"/>
    <w:next w:val="a"/>
    <w:link w:val="Char1"/>
    <w:qFormat/>
    <w:rsid w:val="001C4F55"/>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1C4F55"/>
    <w:rPr>
      <w:rFonts w:ascii="Cambria" w:eastAsia="黑体" w:hAnsi="Cambria" w:cs="Times New Roman"/>
      <w:b/>
      <w:bCs/>
      <w:sz w:val="28"/>
      <w:szCs w:val="32"/>
    </w:rPr>
  </w:style>
  <w:style w:type="paragraph" w:styleId="10">
    <w:name w:val="toc 1"/>
    <w:basedOn w:val="a"/>
    <w:next w:val="a"/>
    <w:autoRedefine/>
    <w:uiPriority w:val="39"/>
    <w:unhideWhenUsed/>
    <w:rsid w:val="00501408"/>
  </w:style>
  <w:style w:type="character" w:styleId="a6">
    <w:name w:val="Hyperlink"/>
    <w:basedOn w:val="a0"/>
    <w:uiPriority w:val="99"/>
    <w:unhideWhenUsed/>
    <w:rsid w:val="00501408"/>
    <w:rPr>
      <w:color w:val="0000FF" w:themeColor="hyperlink"/>
      <w:u w:val="single"/>
    </w:rPr>
  </w:style>
  <w:style w:type="paragraph" w:styleId="a7">
    <w:name w:val="Balloon Text"/>
    <w:basedOn w:val="a"/>
    <w:link w:val="Char2"/>
    <w:uiPriority w:val="99"/>
    <w:semiHidden/>
    <w:unhideWhenUsed/>
    <w:rsid w:val="00501408"/>
    <w:rPr>
      <w:sz w:val="18"/>
      <w:szCs w:val="18"/>
    </w:rPr>
  </w:style>
  <w:style w:type="character" w:customStyle="1" w:styleId="Char2">
    <w:name w:val="批注框文本 Char"/>
    <w:basedOn w:val="a0"/>
    <w:link w:val="a7"/>
    <w:uiPriority w:val="99"/>
    <w:semiHidden/>
    <w:rsid w:val="00501408"/>
    <w:rPr>
      <w:sz w:val="18"/>
      <w:szCs w:val="18"/>
    </w:rPr>
  </w:style>
  <w:style w:type="paragraph" w:styleId="a8">
    <w:name w:val="List Paragraph"/>
    <w:basedOn w:val="a"/>
    <w:uiPriority w:val="34"/>
    <w:qFormat/>
    <w:rsid w:val="004E6F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C7C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C38"/>
    <w:rPr>
      <w:sz w:val="18"/>
      <w:szCs w:val="18"/>
    </w:rPr>
  </w:style>
  <w:style w:type="paragraph" w:styleId="a4">
    <w:name w:val="footer"/>
    <w:basedOn w:val="a"/>
    <w:link w:val="Char0"/>
    <w:uiPriority w:val="99"/>
    <w:unhideWhenUsed/>
    <w:rsid w:val="00BC7C38"/>
    <w:pPr>
      <w:tabs>
        <w:tab w:val="center" w:pos="4153"/>
        <w:tab w:val="right" w:pos="8306"/>
      </w:tabs>
      <w:snapToGrid w:val="0"/>
      <w:jc w:val="left"/>
    </w:pPr>
    <w:rPr>
      <w:sz w:val="18"/>
      <w:szCs w:val="18"/>
    </w:rPr>
  </w:style>
  <w:style w:type="character" w:customStyle="1" w:styleId="Char0">
    <w:name w:val="页脚 Char"/>
    <w:basedOn w:val="a0"/>
    <w:link w:val="a4"/>
    <w:uiPriority w:val="99"/>
    <w:rsid w:val="00BC7C38"/>
    <w:rPr>
      <w:sz w:val="18"/>
      <w:szCs w:val="18"/>
    </w:rPr>
  </w:style>
  <w:style w:type="character" w:customStyle="1" w:styleId="1Char">
    <w:name w:val="标题 1 Char"/>
    <w:basedOn w:val="a0"/>
    <w:link w:val="1"/>
    <w:uiPriority w:val="9"/>
    <w:rsid w:val="00BC7C38"/>
    <w:rPr>
      <w:b/>
      <w:bCs/>
      <w:kern w:val="44"/>
      <w:sz w:val="44"/>
      <w:szCs w:val="44"/>
    </w:rPr>
  </w:style>
  <w:style w:type="paragraph" w:styleId="TOC">
    <w:name w:val="TOC Heading"/>
    <w:basedOn w:val="1"/>
    <w:next w:val="a"/>
    <w:uiPriority w:val="39"/>
    <w:unhideWhenUsed/>
    <w:qFormat/>
    <w:rsid w:val="00BC7C38"/>
    <w:pPr>
      <w:outlineLvl w:val="9"/>
    </w:pPr>
    <w:rPr>
      <w:rFonts w:ascii="Calibri" w:eastAsia="宋体" w:hAnsi="Calibri" w:cs="Times New Roman"/>
    </w:rPr>
  </w:style>
  <w:style w:type="paragraph" w:styleId="a5">
    <w:name w:val="Title"/>
    <w:basedOn w:val="a"/>
    <w:next w:val="a"/>
    <w:link w:val="Char1"/>
    <w:qFormat/>
    <w:rsid w:val="001C4F55"/>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1C4F55"/>
    <w:rPr>
      <w:rFonts w:ascii="Cambria" w:eastAsia="黑体" w:hAnsi="Cambria" w:cs="Times New Roman"/>
      <w:b/>
      <w:bCs/>
      <w:sz w:val="28"/>
      <w:szCs w:val="32"/>
    </w:rPr>
  </w:style>
  <w:style w:type="paragraph" w:styleId="10">
    <w:name w:val="toc 1"/>
    <w:basedOn w:val="a"/>
    <w:next w:val="a"/>
    <w:autoRedefine/>
    <w:uiPriority w:val="39"/>
    <w:unhideWhenUsed/>
    <w:rsid w:val="00501408"/>
  </w:style>
  <w:style w:type="character" w:styleId="a6">
    <w:name w:val="Hyperlink"/>
    <w:basedOn w:val="a0"/>
    <w:uiPriority w:val="99"/>
    <w:unhideWhenUsed/>
    <w:rsid w:val="00501408"/>
    <w:rPr>
      <w:color w:val="0000FF" w:themeColor="hyperlink"/>
      <w:u w:val="single"/>
    </w:rPr>
  </w:style>
  <w:style w:type="paragraph" w:styleId="a7">
    <w:name w:val="Balloon Text"/>
    <w:basedOn w:val="a"/>
    <w:link w:val="Char2"/>
    <w:uiPriority w:val="99"/>
    <w:semiHidden/>
    <w:unhideWhenUsed/>
    <w:rsid w:val="00501408"/>
    <w:rPr>
      <w:sz w:val="18"/>
      <w:szCs w:val="18"/>
    </w:rPr>
  </w:style>
  <w:style w:type="character" w:customStyle="1" w:styleId="Char2">
    <w:name w:val="批注框文本 Char"/>
    <w:basedOn w:val="a0"/>
    <w:link w:val="a7"/>
    <w:uiPriority w:val="99"/>
    <w:semiHidden/>
    <w:rsid w:val="00501408"/>
    <w:rPr>
      <w:sz w:val="18"/>
      <w:szCs w:val="18"/>
    </w:rPr>
  </w:style>
  <w:style w:type="paragraph" w:styleId="a8">
    <w:name w:val="List Paragraph"/>
    <w:basedOn w:val="a"/>
    <w:uiPriority w:val="34"/>
    <w:qFormat/>
    <w:rsid w:val="004E6F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1806">
      <w:bodyDiv w:val="1"/>
      <w:marLeft w:val="0"/>
      <w:marRight w:val="0"/>
      <w:marTop w:val="0"/>
      <w:marBottom w:val="0"/>
      <w:divBdr>
        <w:top w:val="none" w:sz="0" w:space="0" w:color="auto"/>
        <w:left w:val="none" w:sz="0" w:space="0" w:color="auto"/>
        <w:bottom w:val="none" w:sz="0" w:space="0" w:color="auto"/>
        <w:right w:val="none" w:sz="0" w:space="0" w:color="auto"/>
      </w:divBdr>
      <w:divsChild>
        <w:div w:id="1115102760">
          <w:marLeft w:val="0"/>
          <w:marRight w:val="0"/>
          <w:marTop w:val="105"/>
          <w:marBottom w:val="0"/>
          <w:divBdr>
            <w:top w:val="none" w:sz="0" w:space="0" w:color="auto"/>
            <w:left w:val="none" w:sz="0" w:space="0" w:color="auto"/>
            <w:bottom w:val="none" w:sz="0" w:space="0" w:color="auto"/>
            <w:right w:val="none" w:sz="0" w:space="0" w:color="auto"/>
          </w:divBdr>
        </w:div>
      </w:divsChild>
    </w:div>
    <w:div w:id="228420594">
      <w:bodyDiv w:val="1"/>
      <w:marLeft w:val="0"/>
      <w:marRight w:val="0"/>
      <w:marTop w:val="0"/>
      <w:marBottom w:val="0"/>
      <w:divBdr>
        <w:top w:val="none" w:sz="0" w:space="0" w:color="auto"/>
        <w:left w:val="none" w:sz="0" w:space="0" w:color="auto"/>
        <w:bottom w:val="none" w:sz="0" w:space="0" w:color="auto"/>
        <w:right w:val="none" w:sz="0" w:space="0" w:color="auto"/>
      </w:divBdr>
      <w:divsChild>
        <w:div w:id="1131634321">
          <w:marLeft w:val="0"/>
          <w:marRight w:val="0"/>
          <w:marTop w:val="105"/>
          <w:marBottom w:val="0"/>
          <w:divBdr>
            <w:top w:val="none" w:sz="0" w:space="0" w:color="auto"/>
            <w:left w:val="none" w:sz="0" w:space="0" w:color="auto"/>
            <w:bottom w:val="none" w:sz="0" w:space="0" w:color="auto"/>
            <w:right w:val="none" w:sz="0" w:space="0" w:color="auto"/>
          </w:divBdr>
        </w:div>
      </w:divsChild>
    </w:div>
    <w:div w:id="357849480">
      <w:bodyDiv w:val="1"/>
      <w:marLeft w:val="0"/>
      <w:marRight w:val="0"/>
      <w:marTop w:val="0"/>
      <w:marBottom w:val="0"/>
      <w:divBdr>
        <w:top w:val="none" w:sz="0" w:space="0" w:color="auto"/>
        <w:left w:val="none" w:sz="0" w:space="0" w:color="auto"/>
        <w:bottom w:val="none" w:sz="0" w:space="0" w:color="auto"/>
        <w:right w:val="none" w:sz="0" w:space="0" w:color="auto"/>
      </w:divBdr>
      <w:divsChild>
        <w:div w:id="1027481916">
          <w:marLeft w:val="0"/>
          <w:marRight w:val="0"/>
          <w:marTop w:val="105"/>
          <w:marBottom w:val="0"/>
          <w:divBdr>
            <w:top w:val="none" w:sz="0" w:space="0" w:color="auto"/>
            <w:left w:val="none" w:sz="0" w:space="0" w:color="auto"/>
            <w:bottom w:val="none" w:sz="0" w:space="0" w:color="auto"/>
            <w:right w:val="none" w:sz="0" w:space="0" w:color="auto"/>
          </w:divBdr>
          <w:divsChild>
            <w:div w:id="974801118">
              <w:marLeft w:val="0"/>
              <w:marRight w:val="0"/>
              <w:marTop w:val="0"/>
              <w:marBottom w:val="0"/>
              <w:divBdr>
                <w:top w:val="none" w:sz="0" w:space="0" w:color="auto"/>
                <w:left w:val="none" w:sz="0" w:space="0" w:color="auto"/>
                <w:bottom w:val="none" w:sz="0" w:space="0" w:color="auto"/>
                <w:right w:val="none" w:sz="0" w:space="0" w:color="auto"/>
              </w:divBdr>
              <w:divsChild>
                <w:div w:id="769085170">
                  <w:marLeft w:val="0"/>
                  <w:marRight w:val="0"/>
                  <w:marTop w:val="0"/>
                  <w:marBottom w:val="0"/>
                  <w:divBdr>
                    <w:top w:val="none" w:sz="0" w:space="0" w:color="auto"/>
                    <w:left w:val="none" w:sz="0" w:space="0" w:color="auto"/>
                    <w:bottom w:val="none" w:sz="0" w:space="0" w:color="auto"/>
                    <w:right w:val="none" w:sz="0" w:space="0" w:color="auto"/>
                  </w:divBdr>
                </w:div>
              </w:divsChild>
            </w:div>
            <w:div w:id="377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3646">
      <w:bodyDiv w:val="1"/>
      <w:marLeft w:val="0"/>
      <w:marRight w:val="0"/>
      <w:marTop w:val="0"/>
      <w:marBottom w:val="0"/>
      <w:divBdr>
        <w:top w:val="none" w:sz="0" w:space="0" w:color="auto"/>
        <w:left w:val="none" w:sz="0" w:space="0" w:color="auto"/>
        <w:bottom w:val="none" w:sz="0" w:space="0" w:color="auto"/>
        <w:right w:val="none" w:sz="0" w:space="0" w:color="auto"/>
      </w:divBdr>
      <w:divsChild>
        <w:div w:id="882905026">
          <w:marLeft w:val="0"/>
          <w:marRight w:val="0"/>
          <w:marTop w:val="0"/>
          <w:marBottom w:val="0"/>
          <w:divBdr>
            <w:top w:val="none" w:sz="0" w:space="0" w:color="auto"/>
            <w:left w:val="none" w:sz="0" w:space="0" w:color="auto"/>
            <w:bottom w:val="none" w:sz="0" w:space="0" w:color="auto"/>
            <w:right w:val="none" w:sz="0" w:space="0" w:color="auto"/>
          </w:divBdr>
        </w:div>
      </w:divsChild>
    </w:div>
    <w:div w:id="479078291">
      <w:bodyDiv w:val="1"/>
      <w:marLeft w:val="0"/>
      <w:marRight w:val="0"/>
      <w:marTop w:val="0"/>
      <w:marBottom w:val="0"/>
      <w:divBdr>
        <w:top w:val="none" w:sz="0" w:space="0" w:color="auto"/>
        <w:left w:val="none" w:sz="0" w:space="0" w:color="auto"/>
        <w:bottom w:val="none" w:sz="0" w:space="0" w:color="auto"/>
        <w:right w:val="none" w:sz="0" w:space="0" w:color="auto"/>
      </w:divBdr>
      <w:divsChild>
        <w:div w:id="1113328755">
          <w:marLeft w:val="0"/>
          <w:marRight w:val="0"/>
          <w:marTop w:val="105"/>
          <w:marBottom w:val="0"/>
          <w:divBdr>
            <w:top w:val="none" w:sz="0" w:space="0" w:color="auto"/>
            <w:left w:val="none" w:sz="0" w:space="0" w:color="auto"/>
            <w:bottom w:val="none" w:sz="0" w:space="0" w:color="auto"/>
            <w:right w:val="none" w:sz="0" w:space="0" w:color="auto"/>
          </w:divBdr>
        </w:div>
      </w:divsChild>
    </w:div>
    <w:div w:id="706569120">
      <w:bodyDiv w:val="1"/>
      <w:marLeft w:val="0"/>
      <w:marRight w:val="0"/>
      <w:marTop w:val="0"/>
      <w:marBottom w:val="0"/>
      <w:divBdr>
        <w:top w:val="none" w:sz="0" w:space="0" w:color="auto"/>
        <w:left w:val="none" w:sz="0" w:space="0" w:color="auto"/>
        <w:bottom w:val="none" w:sz="0" w:space="0" w:color="auto"/>
        <w:right w:val="none" w:sz="0" w:space="0" w:color="auto"/>
      </w:divBdr>
      <w:divsChild>
        <w:div w:id="192309617">
          <w:marLeft w:val="0"/>
          <w:marRight w:val="0"/>
          <w:marTop w:val="105"/>
          <w:marBottom w:val="0"/>
          <w:divBdr>
            <w:top w:val="none" w:sz="0" w:space="0" w:color="auto"/>
            <w:left w:val="none" w:sz="0" w:space="0" w:color="auto"/>
            <w:bottom w:val="none" w:sz="0" w:space="0" w:color="auto"/>
            <w:right w:val="none" w:sz="0" w:space="0" w:color="auto"/>
          </w:divBdr>
          <w:divsChild>
            <w:div w:id="1479104276">
              <w:marLeft w:val="0"/>
              <w:marRight w:val="0"/>
              <w:marTop w:val="0"/>
              <w:marBottom w:val="0"/>
              <w:divBdr>
                <w:top w:val="none" w:sz="0" w:space="0" w:color="auto"/>
                <w:left w:val="none" w:sz="0" w:space="0" w:color="auto"/>
                <w:bottom w:val="none" w:sz="0" w:space="0" w:color="auto"/>
                <w:right w:val="none" w:sz="0" w:space="0" w:color="auto"/>
              </w:divBdr>
              <w:divsChild>
                <w:div w:id="955525135">
                  <w:marLeft w:val="0"/>
                  <w:marRight w:val="0"/>
                  <w:marTop w:val="0"/>
                  <w:marBottom w:val="0"/>
                  <w:divBdr>
                    <w:top w:val="none" w:sz="0" w:space="0" w:color="auto"/>
                    <w:left w:val="none" w:sz="0" w:space="0" w:color="auto"/>
                    <w:bottom w:val="none" w:sz="0" w:space="0" w:color="auto"/>
                    <w:right w:val="none" w:sz="0" w:space="0" w:color="auto"/>
                  </w:divBdr>
                </w:div>
              </w:divsChild>
            </w:div>
            <w:div w:id="10854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216">
      <w:bodyDiv w:val="1"/>
      <w:marLeft w:val="0"/>
      <w:marRight w:val="0"/>
      <w:marTop w:val="0"/>
      <w:marBottom w:val="0"/>
      <w:divBdr>
        <w:top w:val="none" w:sz="0" w:space="0" w:color="auto"/>
        <w:left w:val="none" w:sz="0" w:space="0" w:color="auto"/>
        <w:bottom w:val="none" w:sz="0" w:space="0" w:color="auto"/>
        <w:right w:val="none" w:sz="0" w:space="0" w:color="auto"/>
      </w:divBdr>
      <w:divsChild>
        <w:div w:id="858851770">
          <w:marLeft w:val="0"/>
          <w:marRight w:val="0"/>
          <w:marTop w:val="0"/>
          <w:marBottom w:val="0"/>
          <w:divBdr>
            <w:top w:val="none" w:sz="0" w:space="0" w:color="auto"/>
            <w:left w:val="none" w:sz="0" w:space="0" w:color="auto"/>
            <w:bottom w:val="none" w:sz="0" w:space="0" w:color="auto"/>
            <w:right w:val="none" w:sz="0" w:space="0" w:color="auto"/>
          </w:divBdr>
          <w:divsChild>
            <w:div w:id="6960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6967">
      <w:bodyDiv w:val="1"/>
      <w:marLeft w:val="0"/>
      <w:marRight w:val="0"/>
      <w:marTop w:val="0"/>
      <w:marBottom w:val="0"/>
      <w:divBdr>
        <w:top w:val="none" w:sz="0" w:space="0" w:color="auto"/>
        <w:left w:val="none" w:sz="0" w:space="0" w:color="auto"/>
        <w:bottom w:val="none" w:sz="0" w:space="0" w:color="auto"/>
        <w:right w:val="none" w:sz="0" w:space="0" w:color="auto"/>
      </w:divBdr>
      <w:divsChild>
        <w:div w:id="1477794429">
          <w:marLeft w:val="0"/>
          <w:marRight w:val="0"/>
          <w:marTop w:val="105"/>
          <w:marBottom w:val="0"/>
          <w:divBdr>
            <w:top w:val="none" w:sz="0" w:space="0" w:color="auto"/>
            <w:left w:val="none" w:sz="0" w:space="0" w:color="auto"/>
            <w:bottom w:val="none" w:sz="0" w:space="0" w:color="auto"/>
            <w:right w:val="none" w:sz="0" w:space="0" w:color="auto"/>
          </w:divBdr>
          <w:divsChild>
            <w:div w:id="1232734166">
              <w:marLeft w:val="0"/>
              <w:marRight w:val="0"/>
              <w:marTop w:val="0"/>
              <w:marBottom w:val="0"/>
              <w:divBdr>
                <w:top w:val="none" w:sz="0" w:space="0" w:color="auto"/>
                <w:left w:val="none" w:sz="0" w:space="0" w:color="auto"/>
                <w:bottom w:val="none" w:sz="0" w:space="0" w:color="auto"/>
                <w:right w:val="none" w:sz="0" w:space="0" w:color="auto"/>
              </w:divBdr>
              <w:divsChild>
                <w:div w:id="1977946262">
                  <w:marLeft w:val="0"/>
                  <w:marRight w:val="0"/>
                  <w:marTop w:val="0"/>
                  <w:marBottom w:val="0"/>
                  <w:divBdr>
                    <w:top w:val="none" w:sz="0" w:space="0" w:color="auto"/>
                    <w:left w:val="none" w:sz="0" w:space="0" w:color="auto"/>
                    <w:bottom w:val="none" w:sz="0" w:space="0" w:color="auto"/>
                    <w:right w:val="none" w:sz="0" w:space="0" w:color="auto"/>
                  </w:divBdr>
                </w:div>
              </w:divsChild>
            </w:div>
            <w:div w:id="758140579">
              <w:marLeft w:val="0"/>
              <w:marRight w:val="0"/>
              <w:marTop w:val="0"/>
              <w:marBottom w:val="0"/>
              <w:divBdr>
                <w:top w:val="none" w:sz="0" w:space="0" w:color="auto"/>
                <w:left w:val="none" w:sz="0" w:space="0" w:color="auto"/>
                <w:bottom w:val="none" w:sz="0" w:space="0" w:color="auto"/>
                <w:right w:val="none" w:sz="0" w:space="0" w:color="auto"/>
              </w:divBdr>
            </w:div>
          </w:divsChild>
        </w:div>
        <w:div w:id="201402987">
          <w:marLeft w:val="0"/>
          <w:marRight w:val="0"/>
          <w:marTop w:val="150"/>
          <w:marBottom w:val="0"/>
          <w:divBdr>
            <w:top w:val="single" w:sz="6" w:space="7" w:color="E8E8E8"/>
            <w:left w:val="single" w:sz="6" w:space="9" w:color="E8E8E8"/>
            <w:bottom w:val="single" w:sz="6" w:space="7" w:color="E8E8E8"/>
            <w:right w:val="single" w:sz="6" w:space="9" w:color="E8E8E8"/>
          </w:divBdr>
        </w:div>
        <w:div w:id="1742167385">
          <w:marLeft w:val="0"/>
          <w:marRight w:val="0"/>
          <w:marTop w:val="150"/>
          <w:marBottom w:val="0"/>
          <w:divBdr>
            <w:top w:val="none" w:sz="0" w:space="0" w:color="auto"/>
            <w:left w:val="none" w:sz="0" w:space="0" w:color="auto"/>
            <w:bottom w:val="none" w:sz="0" w:space="0" w:color="auto"/>
            <w:right w:val="none" w:sz="0" w:space="0" w:color="auto"/>
          </w:divBdr>
        </w:div>
      </w:divsChild>
    </w:div>
    <w:div w:id="979842179">
      <w:bodyDiv w:val="1"/>
      <w:marLeft w:val="0"/>
      <w:marRight w:val="0"/>
      <w:marTop w:val="0"/>
      <w:marBottom w:val="0"/>
      <w:divBdr>
        <w:top w:val="none" w:sz="0" w:space="0" w:color="auto"/>
        <w:left w:val="none" w:sz="0" w:space="0" w:color="auto"/>
        <w:bottom w:val="none" w:sz="0" w:space="0" w:color="auto"/>
        <w:right w:val="none" w:sz="0" w:space="0" w:color="auto"/>
      </w:divBdr>
      <w:divsChild>
        <w:div w:id="310985674">
          <w:marLeft w:val="0"/>
          <w:marRight w:val="0"/>
          <w:marTop w:val="105"/>
          <w:marBottom w:val="0"/>
          <w:divBdr>
            <w:top w:val="none" w:sz="0" w:space="0" w:color="auto"/>
            <w:left w:val="none" w:sz="0" w:space="0" w:color="auto"/>
            <w:bottom w:val="none" w:sz="0" w:space="0" w:color="auto"/>
            <w:right w:val="none" w:sz="0" w:space="0" w:color="auto"/>
          </w:divBdr>
        </w:div>
      </w:divsChild>
    </w:div>
    <w:div w:id="1303072994">
      <w:bodyDiv w:val="1"/>
      <w:marLeft w:val="0"/>
      <w:marRight w:val="0"/>
      <w:marTop w:val="0"/>
      <w:marBottom w:val="0"/>
      <w:divBdr>
        <w:top w:val="none" w:sz="0" w:space="0" w:color="auto"/>
        <w:left w:val="none" w:sz="0" w:space="0" w:color="auto"/>
        <w:bottom w:val="none" w:sz="0" w:space="0" w:color="auto"/>
        <w:right w:val="none" w:sz="0" w:space="0" w:color="auto"/>
      </w:divBdr>
      <w:divsChild>
        <w:div w:id="352074698">
          <w:marLeft w:val="0"/>
          <w:marRight w:val="0"/>
          <w:marTop w:val="105"/>
          <w:marBottom w:val="0"/>
          <w:divBdr>
            <w:top w:val="none" w:sz="0" w:space="0" w:color="auto"/>
            <w:left w:val="none" w:sz="0" w:space="0" w:color="auto"/>
            <w:bottom w:val="none" w:sz="0" w:space="0" w:color="auto"/>
            <w:right w:val="none" w:sz="0" w:space="0" w:color="auto"/>
          </w:divBdr>
        </w:div>
      </w:divsChild>
    </w:div>
    <w:div w:id="1382512232">
      <w:bodyDiv w:val="1"/>
      <w:marLeft w:val="0"/>
      <w:marRight w:val="0"/>
      <w:marTop w:val="0"/>
      <w:marBottom w:val="0"/>
      <w:divBdr>
        <w:top w:val="none" w:sz="0" w:space="0" w:color="auto"/>
        <w:left w:val="none" w:sz="0" w:space="0" w:color="auto"/>
        <w:bottom w:val="none" w:sz="0" w:space="0" w:color="auto"/>
        <w:right w:val="none" w:sz="0" w:space="0" w:color="auto"/>
      </w:divBdr>
      <w:divsChild>
        <w:div w:id="1180239311">
          <w:marLeft w:val="0"/>
          <w:marRight w:val="0"/>
          <w:marTop w:val="105"/>
          <w:marBottom w:val="0"/>
          <w:divBdr>
            <w:top w:val="none" w:sz="0" w:space="0" w:color="auto"/>
            <w:left w:val="none" w:sz="0" w:space="0" w:color="auto"/>
            <w:bottom w:val="none" w:sz="0" w:space="0" w:color="auto"/>
            <w:right w:val="none" w:sz="0" w:space="0" w:color="auto"/>
          </w:divBdr>
        </w:div>
      </w:divsChild>
    </w:div>
    <w:div w:id="1534878226">
      <w:bodyDiv w:val="1"/>
      <w:marLeft w:val="0"/>
      <w:marRight w:val="0"/>
      <w:marTop w:val="0"/>
      <w:marBottom w:val="0"/>
      <w:divBdr>
        <w:top w:val="none" w:sz="0" w:space="0" w:color="auto"/>
        <w:left w:val="none" w:sz="0" w:space="0" w:color="auto"/>
        <w:bottom w:val="none" w:sz="0" w:space="0" w:color="auto"/>
        <w:right w:val="none" w:sz="0" w:space="0" w:color="auto"/>
      </w:divBdr>
      <w:divsChild>
        <w:div w:id="481508939">
          <w:marLeft w:val="0"/>
          <w:marRight w:val="0"/>
          <w:marTop w:val="105"/>
          <w:marBottom w:val="0"/>
          <w:divBdr>
            <w:top w:val="none" w:sz="0" w:space="0" w:color="auto"/>
            <w:left w:val="none" w:sz="0" w:space="0" w:color="auto"/>
            <w:bottom w:val="none" w:sz="0" w:space="0" w:color="auto"/>
            <w:right w:val="none" w:sz="0" w:space="0" w:color="auto"/>
          </w:divBdr>
        </w:div>
      </w:divsChild>
    </w:div>
    <w:div w:id="2139519923">
      <w:bodyDiv w:val="1"/>
      <w:marLeft w:val="0"/>
      <w:marRight w:val="0"/>
      <w:marTop w:val="0"/>
      <w:marBottom w:val="0"/>
      <w:divBdr>
        <w:top w:val="none" w:sz="0" w:space="0" w:color="auto"/>
        <w:left w:val="none" w:sz="0" w:space="0" w:color="auto"/>
        <w:bottom w:val="none" w:sz="0" w:space="0" w:color="auto"/>
        <w:right w:val="none" w:sz="0" w:space="0" w:color="auto"/>
      </w:divBdr>
      <w:divsChild>
        <w:div w:id="175015428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B2CB-89A3-437C-BF71-A9CCEECB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806</Words>
  <Characters>4596</Characters>
  <Application>Microsoft Office Word</Application>
  <DocSecurity>0</DocSecurity>
  <Lines>38</Lines>
  <Paragraphs>10</Paragraphs>
  <ScaleCrop>false</ScaleCrop>
  <Company>aa</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liu</cp:lastModifiedBy>
  <cp:revision>10</cp:revision>
  <dcterms:created xsi:type="dcterms:W3CDTF">2015-10-10T01:46:00Z</dcterms:created>
  <dcterms:modified xsi:type="dcterms:W3CDTF">2015-11-24T01:52:00Z</dcterms:modified>
</cp:coreProperties>
</file>